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7AF42111"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#90</w:t>
      </w:r>
      <w:r w:rsidR="00D6375C" w:rsidRPr="00536C1E">
        <w:rPr>
          <w:rFonts w:ascii="Arial" w:hAnsi="Arial"/>
          <w:b/>
          <w:lang w:val="en-US"/>
        </w:rPr>
        <w:tab/>
      </w:r>
      <w:r w:rsidR="00142543" w:rsidRPr="00142543">
        <w:rPr>
          <w:rFonts w:ascii="Arial" w:hAnsi="Arial"/>
          <w:b/>
          <w:lang w:val="en-US"/>
        </w:rPr>
        <w:t>R1-1712955</w:t>
      </w:r>
    </w:p>
    <w:p w14:paraId="66354B83" w14:textId="5DE8059C" w:rsidR="00113916" w:rsidRPr="00F97042" w:rsidRDefault="00C434DD" w:rsidP="00113916">
      <w:pPr>
        <w:rPr>
          <w:rFonts w:ascii="Arial" w:hAnsi="Arial"/>
          <w:b/>
          <w:lang w:val="en-AU"/>
        </w:rPr>
      </w:pPr>
      <w:r>
        <w:rPr>
          <w:rFonts w:ascii="Arial" w:hAnsi="Arial"/>
          <w:b/>
          <w:lang w:val="en-AU"/>
        </w:rPr>
        <w:t xml:space="preserve">Prague, </w:t>
      </w:r>
      <w:r w:rsidRPr="00C434DD">
        <w:rPr>
          <w:rFonts w:ascii="Arial" w:hAnsi="Arial"/>
          <w:b/>
          <w:lang w:val="en-AU"/>
        </w:rPr>
        <w:t>Czech Republic</w:t>
      </w:r>
      <w:r>
        <w:rPr>
          <w:rFonts w:ascii="Arial" w:hAnsi="Arial"/>
          <w:b/>
          <w:lang w:val="en-AU"/>
        </w:rPr>
        <w:t>,</w:t>
      </w:r>
      <w:r w:rsidR="00F02F65" w:rsidRPr="00F02F65">
        <w:rPr>
          <w:rFonts w:ascii="Arial" w:hAnsi="Arial"/>
          <w:b/>
          <w:lang w:val="en-AU"/>
        </w:rPr>
        <w:t xml:space="preserve"> </w:t>
      </w:r>
      <w:r w:rsidR="00DE2DA4" w:rsidRPr="00F02F65">
        <w:rPr>
          <w:rFonts w:ascii="Arial" w:hAnsi="Arial"/>
          <w:b/>
          <w:lang w:val="en-AU"/>
        </w:rPr>
        <w:t>21</w:t>
      </w:r>
      <w:r w:rsidR="00DE2DA4" w:rsidRPr="00E94BA0">
        <w:rPr>
          <w:rFonts w:ascii="Arial" w:hAnsi="Arial"/>
          <w:b/>
          <w:vertAlign w:val="superscript"/>
          <w:lang w:val="en-AU"/>
        </w:rPr>
        <w:t>st</w:t>
      </w:r>
      <w:r w:rsidR="00DE2DA4" w:rsidRPr="00F02F65">
        <w:rPr>
          <w:rFonts w:ascii="Arial" w:hAnsi="Arial"/>
          <w:b/>
          <w:lang w:val="en-AU"/>
        </w:rPr>
        <w:t xml:space="preserve"> </w:t>
      </w:r>
      <w:r w:rsidR="00F02F65" w:rsidRPr="00F02F65">
        <w:rPr>
          <w:rFonts w:ascii="Arial" w:hAnsi="Arial"/>
          <w:b/>
          <w:lang w:val="en-AU"/>
        </w:rPr>
        <w:t xml:space="preserve">– 25th August </w:t>
      </w:r>
      <w:r w:rsidR="00D976C8" w:rsidRPr="00D976C8">
        <w:rPr>
          <w:rFonts w:ascii="Arial" w:hAnsi="Arial"/>
          <w:b/>
          <w:lang w:val="en-AU"/>
        </w:rPr>
        <w:t>2017</w:t>
      </w:r>
    </w:p>
    <w:p w14:paraId="259EC765" w14:textId="0A815110"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4E2BF3" w:rsidRPr="00536C1E">
        <w:rPr>
          <w:b/>
          <w:sz w:val="24"/>
          <w:lang w:val="en-US"/>
        </w:rPr>
        <w:t>5.2.6.</w:t>
      </w:r>
      <w:r w:rsidR="00C753CA">
        <w:rPr>
          <w:b/>
          <w:sz w:val="24"/>
          <w:lang w:val="en-US"/>
        </w:rPr>
        <w:t>1</w:t>
      </w:r>
    </w:p>
    <w:p w14:paraId="57542942" w14:textId="77777777"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E14CBF" w:rsidRPr="00536C1E">
        <w:rPr>
          <w:b/>
          <w:sz w:val="24"/>
          <w:lang w:val="en-US"/>
        </w:rPr>
        <w:t>Sony</w:t>
      </w:r>
      <w:r w:rsidR="005833B3" w:rsidRPr="00536C1E">
        <w:rPr>
          <w:b/>
          <w:sz w:val="24"/>
          <w:lang w:val="en-US"/>
        </w:rPr>
        <w:t xml:space="preserve"> </w:t>
      </w:r>
    </w:p>
    <w:p w14:paraId="52BFB253" w14:textId="6B495C49"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C753CA" w:rsidRPr="00C753CA">
        <w:rPr>
          <w:b/>
          <w:color w:val="000000"/>
          <w:sz w:val="24"/>
          <w:lang w:val="en-US"/>
        </w:rPr>
        <w:t>On reduced system acquisition time for efeMTC</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3DCCE464" w14:textId="77777777" w:rsidR="005C6469" w:rsidRDefault="005C6469" w:rsidP="005C6469">
      <w:pPr>
        <w:jc w:val="both"/>
        <w:rPr>
          <w:lang w:val="en-US"/>
        </w:rPr>
      </w:pPr>
      <w:r>
        <w:rPr>
          <w:lang w:val="en-US"/>
        </w:rPr>
        <w:t>In RAN1#88bis we agreed the following:</w:t>
      </w:r>
    </w:p>
    <w:p w14:paraId="786297E2" w14:textId="77777777" w:rsidR="005C6469" w:rsidRPr="00E94BA0" w:rsidRDefault="005C6469" w:rsidP="005C6469">
      <w:pPr>
        <w:numPr>
          <w:ilvl w:val="0"/>
          <w:numId w:val="43"/>
        </w:numPr>
        <w:spacing w:after="0" w:line="240" w:lineRule="auto"/>
        <w:rPr>
          <w:rFonts w:eastAsia="MS Mincho"/>
          <w:i/>
          <w:lang w:val="en-US"/>
        </w:rPr>
      </w:pPr>
      <w:r w:rsidRPr="00E94BA0">
        <w:rPr>
          <w:rFonts w:eastAsia="MS Mincho"/>
          <w:i/>
          <w:lang w:val="en-US"/>
        </w:rPr>
        <w:t>Techniques for system acquisition time reduction to be considered:</w:t>
      </w:r>
    </w:p>
    <w:p w14:paraId="7969A4D8" w14:textId="77777777" w:rsidR="005C6469" w:rsidRPr="00821675" w:rsidRDefault="005C6469" w:rsidP="005C6469">
      <w:pPr>
        <w:numPr>
          <w:ilvl w:val="0"/>
          <w:numId w:val="42"/>
        </w:numPr>
        <w:spacing w:after="0" w:line="240" w:lineRule="auto"/>
        <w:rPr>
          <w:rFonts w:eastAsia="MS Mincho"/>
          <w:i/>
        </w:rPr>
      </w:pPr>
      <w:r w:rsidRPr="00821675">
        <w:rPr>
          <w:rFonts w:eastAsia="MS Mincho"/>
          <w:i/>
        </w:rPr>
        <w:t>PSS/SSS</w:t>
      </w:r>
    </w:p>
    <w:p w14:paraId="64E5FA76" w14:textId="77777777" w:rsidR="005C6469" w:rsidRPr="00E94BA0" w:rsidRDefault="005C6469" w:rsidP="005C6469">
      <w:pPr>
        <w:numPr>
          <w:ilvl w:val="1"/>
          <w:numId w:val="42"/>
        </w:numPr>
        <w:spacing w:after="0" w:line="240" w:lineRule="auto"/>
        <w:rPr>
          <w:rFonts w:eastAsia="MS Mincho"/>
          <w:i/>
          <w:lang w:val="en-US"/>
        </w:rPr>
      </w:pPr>
      <w:r w:rsidRPr="00E94BA0">
        <w:rPr>
          <w:rFonts w:eastAsia="MS Mincho"/>
          <w:i/>
          <w:lang w:val="en-US"/>
        </w:rPr>
        <w:t>Enhanced (e.g. repeated) PSS/SSS based on PSS/SSS or NPSS/NSSS design</w:t>
      </w:r>
    </w:p>
    <w:p w14:paraId="65C674C7" w14:textId="77777777" w:rsidR="005C6469" w:rsidRPr="00E94BA0" w:rsidRDefault="005C6469" w:rsidP="005C6469">
      <w:pPr>
        <w:numPr>
          <w:ilvl w:val="1"/>
          <w:numId w:val="42"/>
        </w:numPr>
        <w:spacing w:after="0" w:line="240" w:lineRule="auto"/>
        <w:rPr>
          <w:rFonts w:eastAsia="MS Mincho"/>
          <w:i/>
          <w:lang w:val="en-US"/>
        </w:rPr>
      </w:pPr>
      <w:r w:rsidRPr="00E94BA0">
        <w:rPr>
          <w:rFonts w:eastAsia="MS Mincho"/>
          <w:i/>
          <w:lang w:val="en-US"/>
        </w:rPr>
        <w:t>Use of NPSS/NSSS on NB-IoT anchor carrier</w:t>
      </w:r>
    </w:p>
    <w:p w14:paraId="097AF66D" w14:textId="77777777" w:rsidR="005C6469" w:rsidRPr="00821675" w:rsidRDefault="005C6469" w:rsidP="005C6469">
      <w:pPr>
        <w:numPr>
          <w:ilvl w:val="0"/>
          <w:numId w:val="42"/>
        </w:numPr>
        <w:spacing w:after="0" w:line="240" w:lineRule="auto"/>
        <w:rPr>
          <w:rFonts w:eastAsia="MS Mincho"/>
          <w:i/>
        </w:rPr>
      </w:pPr>
      <w:r w:rsidRPr="00821675">
        <w:rPr>
          <w:rFonts w:eastAsia="MS Mincho"/>
          <w:i/>
        </w:rPr>
        <w:t>PBCH</w:t>
      </w:r>
    </w:p>
    <w:p w14:paraId="4D4C57F0" w14:textId="77777777" w:rsidR="005C6469" w:rsidRPr="00E94BA0" w:rsidRDefault="005C6469" w:rsidP="005C6469">
      <w:pPr>
        <w:numPr>
          <w:ilvl w:val="1"/>
          <w:numId w:val="42"/>
        </w:numPr>
        <w:spacing w:after="0" w:line="240" w:lineRule="auto"/>
        <w:rPr>
          <w:rFonts w:eastAsia="MS Mincho"/>
          <w:i/>
          <w:lang w:val="en-US"/>
        </w:rPr>
      </w:pPr>
      <w:r w:rsidRPr="00E94BA0">
        <w:rPr>
          <w:rFonts w:eastAsia="MS Mincho"/>
          <w:i/>
          <w:lang w:val="en-US"/>
        </w:rPr>
        <w:t>Enhanced (e.g. repeated) PBCH based on PBCH or NPBCH design</w:t>
      </w:r>
    </w:p>
    <w:p w14:paraId="04D66FB4" w14:textId="77777777" w:rsidR="005C6469" w:rsidRPr="00E94BA0" w:rsidRDefault="005C6469" w:rsidP="005C6469">
      <w:pPr>
        <w:numPr>
          <w:ilvl w:val="1"/>
          <w:numId w:val="42"/>
        </w:numPr>
        <w:spacing w:after="0" w:line="240" w:lineRule="auto"/>
        <w:rPr>
          <w:rFonts w:eastAsia="MS Mincho"/>
          <w:i/>
          <w:lang w:val="en-US"/>
        </w:rPr>
      </w:pPr>
      <w:r w:rsidRPr="00E94BA0">
        <w:rPr>
          <w:rFonts w:eastAsia="MS Mincho"/>
          <w:i/>
          <w:lang w:val="en-US"/>
        </w:rPr>
        <w:t>Use of NPBCH on NB-IoT anchor carrier</w:t>
      </w:r>
    </w:p>
    <w:p w14:paraId="3187F3E1" w14:textId="77777777" w:rsidR="005C6469" w:rsidRPr="00E94BA0" w:rsidRDefault="005C6469" w:rsidP="005C6469">
      <w:pPr>
        <w:numPr>
          <w:ilvl w:val="1"/>
          <w:numId w:val="42"/>
        </w:numPr>
        <w:spacing w:after="0" w:line="240" w:lineRule="auto"/>
        <w:rPr>
          <w:rFonts w:eastAsia="MS Mincho"/>
          <w:i/>
          <w:lang w:val="en-US"/>
        </w:rPr>
      </w:pPr>
      <w:r w:rsidRPr="00E94BA0">
        <w:rPr>
          <w:rFonts w:eastAsia="MS Mincho"/>
          <w:i/>
          <w:lang w:val="en-US"/>
        </w:rPr>
        <w:t>Combining across 40-ms PBCH periods (unless already part of Rel-14 demodulation requirements)</w:t>
      </w:r>
    </w:p>
    <w:p w14:paraId="47A3CE03" w14:textId="77777777" w:rsidR="005C6469" w:rsidRPr="00E94BA0" w:rsidRDefault="005C6469" w:rsidP="005C6469">
      <w:pPr>
        <w:numPr>
          <w:ilvl w:val="1"/>
          <w:numId w:val="42"/>
        </w:numPr>
        <w:spacing w:after="0" w:line="240" w:lineRule="auto"/>
        <w:rPr>
          <w:rFonts w:eastAsia="MS Mincho"/>
          <w:i/>
          <w:lang w:val="en-US"/>
        </w:rPr>
      </w:pPr>
      <w:r w:rsidRPr="00E94BA0">
        <w:rPr>
          <w:rFonts w:eastAsia="MS Mincho"/>
          <w:i/>
          <w:lang w:val="en-US"/>
        </w:rPr>
        <w:t>New mechanism allowing to skip MIB message reading</w:t>
      </w:r>
    </w:p>
    <w:p w14:paraId="722329AB" w14:textId="77777777" w:rsidR="005C6469" w:rsidRPr="00821675" w:rsidRDefault="005C6469" w:rsidP="005C6469">
      <w:pPr>
        <w:numPr>
          <w:ilvl w:val="0"/>
          <w:numId w:val="42"/>
        </w:numPr>
        <w:spacing w:after="0" w:line="240" w:lineRule="auto"/>
        <w:rPr>
          <w:rFonts w:eastAsia="MS Mincho"/>
          <w:i/>
        </w:rPr>
      </w:pPr>
      <w:r w:rsidRPr="00821675">
        <w:rPr>
          <w:rFonts w:eastAsia="MS Mincho"/>
          <w:i/>
        </w:rPr>
        <w:t>SIB1-BR</w:t>
      </w:r>
    </w:p>
    <w:p w14:paraId="4A028A7E" w14:textId="77777777" w:rsidR="005C6469" w:rsidRPr="00821675" w:rsidRDefault="005C6469" w:rsidP="005C6469">
      <w:pPr>
        <w:numPr>
          <w:ilvl w:val="1"/>
          <w:numId w:val="42"/>
        </w:numPr>
        <w:spacing w:after="0" w:line="240" w:lineRule="auto"/>
        <w:rPr>
          <w:rFonts w:eastAsia="MS Mincho"/>
          <w:i/>
        </w:rPr>
      </w:pPr>
      <w:r w:rsidRPr="00821675">
        <w:rPr>
          <w:rFonts w:eastAsia="MS Mincho"/>
          <w:i/>
        </w:rPr>
        <w:t>Additional repetitions of SIB1-BR</w:t>
      </w:r>
    </w:p>
    <w:p w14:paraId="5E87E9E6" w14:textId="77777777" w:rsidR="005C6469" w:rsidRPr="00E94BA0" w:rsidRDefault="005C6469" w:rsidP="005C6469">
      <w:pPr>
        <w:numPr>
          <w:ilvl w:val="1"/>
          <w:numId w:val="42"/>
        </w:numPr>
        <w:spacing w:after="0" w:line="240" w:lineRule="auto"/>
        <w:rPr>
          <w:rFonts w:eastAsia="MS Mincho"/>
          <w:i/>
          <w:lang w:val="en-US"/>
        </w:rPr>
      </w:pPr>
      <w:r w:rsidRPr="00E94BA0">
        <w:rPr>
          <w:rFonts w:eastAsia="MS Mincho"/>
          <w:i/>
          <w:lang w:val="en-US"/>
        </w:rPr>
        <w:t>Accumulation across SIB1-BR modification periods (unless already part of Rel-14 demodulation requirements)</w:t>
      </w:r>
    </w:p>
    <w:p w14:paraId="1F250C80" w14:textId="77777777" w:rsidR="005C6469" w:rsidRPr="00E94BA0" w:rsidRDefault="005C6469" w:rsidP="005C6469">
      <w:pPr>
        <w:numPr>
          <w:ilvl w:val="1"/>
          <w:numId w:val="42"/>
        </w:numPr>
        <w:spacing w:after="0" w:line="240" w:lineRule="auto"/>
        <w:rPr>
          <w:rFonts w:eastAsia="MS Mincho"/>
          <w:i/>
          <w:lang w:val="en-US"/>
        </w:rPr>
      </w:pPr>
      <w:r w:rsidRPr="00E94BA0">
        <w:rPr>
          <w:rFonts w:eastAsia="MS Mincho"/>
          <w:i/>
          <w:lang w:val="en-US"/>
        </w:rPr>
        <w:t>New mechanism allowing to skip SIB1-BR reading</w:t>
      </w:r>
    </w:p>
    <w:p w14:paraId="6B5D4C36" w14:textId="77777777" w:rsidR="005C6469" w:rsidRPr="00E94BA0" w:rsidRDefault="005C6469" w:rsidP="005C6469">
      <w:pPr>
        <w:numPr>
          <w:ilvl w:val="2"/>
          <w:numId w:val="42"/>
        </w:numPr>
        <w:spacing w:after="0" w:line="240" w:lineRule="auto"/>
        <w:rPr>
          <w:rFonts w:eastAsia="MS Mincho"/>
          <w:i/>
          <w:lang w:val="en-US"/>
        </w:rPr>
      </w:pPr>
      <w:r w:rsidRPr="00E94BA0">
        <w:rPr>
          <w:rFonts w:eastAsia="MS Mincho"/>
          <w:i/>
          <w:lang w:val="en-US"/>
        </w:rPr>
        <w:t>E.g. SI update indication or other indication in MIB or another channel</w:t>
      </w:r>
    </w:p>
    <w:p w14:paraId="754198EB" w14:textId="77777777" w:rsidR="005C6469" w:rsidRPr="00821675" w:rsidRDefault="005C6469" w:rsidP="005C6469">
      <w:pPr>
        <w:numPr>
          <w:ilvl w:val="0"/>
          <w:numId w:val="42"/>
        </w:numPr>
        <w:spacing w:after="0" w:line="240" w:lineRule="auto"/>
        <w:rPr>
          <w:rFonts w:eastAsia="MS Mincho"/>
          <w:i/>
        </w:rPr>
      </w:pPr>
      <w:r w:rsidRPr="00821675">
        <w:rPr>
          <w:rFonts w:eastAsia="MS Mincho"/>
          <w:i/>
        </w:rPr>
        <w:t>SI messages</w:t>
      </w:r>
    </w:p>
    <w:p w14:paraId="70945F63" w14:textId="77777777" w:rsidR="005C6469" w:rsidRPr="00821675" w:rsidRDefault="005C6469" w:rsidP="005C6469">
      <w:pPr>
        <w:numPr>
          <w:ilvl w:val="1"/>
          <w:numId w:val="42"/>
        </w:numPr>
        <w:spacing w:after="0" w:line="240" w:lineRule="auto"/>
        <w:rPr>
          <w:rFonts w:eastAsia="MS Mincho"/>
          <w:i/>
        </w:rPr>
      </w:pPr>
      <w:r w:rsidRPr="00821675">
        <w:rPr>
          <w:rFonts w:eastAsia="MS Mincho"/>
          <w:i/>
        </w:rPr>
        <w:t>Additional repetitions of SI messages</w:t>
      </w:r>
    </w:p>
    <w:p w14:paraId="071C4816" w14:textId="77777777" w:rsidR="005C6469" w:rsidRPr="00E94BA0" w:rsidRDefault="005C6469" w:rsidP="005C6469">
      <w:pPr>
        <w:numPr>
          <w:ilvl w:val="1"/>
          <w:numId w:val="42"/>
        </w:numPr>
        <w:spacing w:after="0" w:line="240" w:lineRule="auto"/>
        <w:rPr>
          <w:rFonts w:eastAsia="MS Mincho"/>
          <w:i/>
          <w:lang w:val="en-US"/>
        </w:rPr>
      </w:pPr>
      <w:r w:rsidRPr="00E94BA0">
        <w:rPr>
          <w:rFonts w:eastAsia="MS Mincho"/>
          <w:i/>
          <w:lang w:val="en-US"/>
        </w:rPr>
        <w:t>New mechanism allowing to skip SI message reading</w:t>
      </w:r>
    </w:p>
    <w:p w14:paraId="630635DA" w14:textId="77777777" w:rsidR="005C6469" w:rsidRPr="00E94BA0" w:rsidRDefault="005C6469" w:rsidP="005C6469">
      <w:pPr>
        <w:numPr>
          <w:ilvl w:val="2"/>
          <w:numId w:val="42"/>
        </w:numPr>
        <w:spacing w:after="0" w:line="240" w:lineRule="auto"/>
        <w:rPr>
          <w:rFonts w:eastAsia="MS Mincho"/>
          <w:i/>
          <w:lang w:val="en-US"/>
        </w:rPr>
      </w:pPr>
      <w:r w:rsidRPr="00E94BA0">
        <w:rPr>
          <w:rFonts w:eastAsia="MS Mincho"/>
          <w:i/>
          <w:lang w:val="en-US"/>
        </w:rPr>
        <w:t>E.g. SI update indication or other indication in MIB or another channel</w:t>
      </w:r>
    </w:p>
    <w:p w14:paraId="004CDF70" w14:textId="77777777" w:rsidR="005C6469" w:rsidRDefault="005C6469" w:rsidP="005C6469">
      <w:pPr>
        <w:rPr>
          <w:rFonts w:eastAsia="MS Mincho"/>
          <w:iCs/>
          <w:lang w:val="en-US"/>
        </w:rPr>
      </w:pPr>
    </w:p>
    <w:p w14:paraId="0904F5B1" w14:textId="54384F5E" w:rsidR="005C6469" w:rsidRDefault="005C6469" w:rsidP="005C6469">
      <w:pPr>
        <w:rPr>
          <w:rFonts w:eastAsia="MS Mincho"/>
          <w:iCs/>
          <w:lang w:val="en-US"/>
        </w:rPr>
      </w:pPr>
      <w:r>
        <w:rPr>
          <w:rFonts w:eastAsia="MS Mincho"/>
          <w:iCs/>
          <w:lang w:val="en-US"/>
        </w:rPr>
        <w:t>In RAN1#89 we further agreed that:</w:t>
      </w:r>
    </w:p>
    <w:p w14:paraId="1421BD8F" w14:textId="77777777" w:rsidR="005C6469" w:rsidRPr="00E94BA0" w:rsidRDefault="005C6469" w:rsidP="005C6469">
      <w:pPr>
        <w:numPr>
          <w:ilvl w:val="0"/>
          <w:numId w:val="44"/>
        </w:numPr>
        <w:spacing w:after="0" w:line="240" w:lineRule="auto"/>
        <w:rPr>
          <w:rFonts w:eastAsia="MS Mincho"/>
          <w:i/>
          <w:lang w:val="en-US"/>
        </w:rPr>
      </w:pPr>
      <w:r w:rsidRPr="00E94BA0">
        <w:rPr>
          <w:rFonts w:eastAsia="MS Mincho"/>
          <w:i/>
          <w:lang w:val="en-US"/>
        </w:rPr>
        <w:t>In addition to the techniques for system acquisition time reduction agreed to be considered in RAN1#88bis, the following technique can be considered:</w:t>
      </w:r>
    </w:p>
    <w:p w14:paraId="6D71DBCE" w14:textId="77777777" w:rsidR="005C6469" w:rsidRPr="005C6469" w:rsidRDefault="005C6469" w:rsidP="005C6469">
      <w:pPr>
        <w:numPr>
          <w:ilvl w:val="1"/>
          <w:numId w:val="44"/>
        </w:numPr>
        <w:spacing w:after="0" w:line="240" w:lineRule="auto"/>
        <w:rPr>
          <w:rFonts w:eastAsia="MS Mincho"/>
          <w:i/>
        </w:rPr>
      </w:pPr>
      <w:r w:rsidRPr="005C6469">
        <w:rPr>
          <w:rFonts w:eastAsia="MS Mincho"/>
          <w:i/>
        </w:rPr>
        <w:t>SI messages</w:t>
      </w:r>
    </w:p>
    <w:p w14:paraId="440A6B44" w14:textId="77777777" w:rsidR="005C6469" w:rsidRPr="005C6469" w:rsidRDefault="005C6469" w:rsidP="005C6469">
      <w:pPr>
        <w:numPr>
          <w:ilvl w:val="2"/>
          <w:numId w:val="44"/>
        </w:numPr>
        <w:spacing w:after="0" w:line="240" w:lineRule="auto"/>
        <w:rPr>
          <w:rFonts w:eastAsia="MS Mincho"/>
          <w:i/>
        </w:rPr>
      </w:pPr>
      <w:r w:rsidRPr="005C6469">
        <w:rPr>
          <w:rFonts w:eastAsia="MS Mincho"/>
          <w:i/>
        </w:rPr>
        <w:t>Accumulation across SI modification periods</w:t>
      </w:r>
    </w:p>
    <w:p w14:paraId="5EC1EC3D" w14:textId="77777777" w:rsidR="005C6469" w:rsidRPr="00644DA4" w:rsidRDefault="005C6469" w:rsidP="005C6469">
      <w:pPr>
        <w:rPr>
          <w:rFonts w:eastAsia="MS Mincho"/>
          <w:iCs/>
        </w:rPr>
      </w:pPr>
    </w:p>
    <w:p w14:paraId="20248D1A" w14:textId="7D310D67" w:rsidR="005C6469" w:rsidRDefault="005C6469" w:rsidP="005C6469">
      <w:pPr>
        <w:jc w:val="both"/>
        <w:rPr>
          <w:lang w:val="en-US"/>
        </w:rPr>
      </w:pPr>
      <w:r>
        <w:rPr>
          <w:lang w:val="en-US"/>
        </w:rPr>
        <w:t>This contribution discusses some consideration</w:t>
      </w:r>
      <w:r w:rsidR="00DE2DA4">
        <w:rPr>
          <w:lang w:val="en-US"/>
        </w:rPr>
        <w:t>s</w:t>
      </w:r>
      <w:r>
        <w:rPr>
          <w:lang w:val="en-US"/>
        </w:rPr>
        <w:t xml:space="preserve"> </w:t>
      </w:r>
      <w:r w:rsidR="00DE2DA4">
        <w:rPr>
          <w:lang w:val="en-US"/>
        </w:rPr>
        <w:t xml:space="preserve">on </w:t>
      </w:r>
      <w:r>
        <w:rPr>
          <w:lang w:val="en-US"/>
        </w:rPr>
        <w:t>using a new synchronization channel.</w:t>
      </w:r>
    </w:p>
    <w:p w14:paraId="3545E7E1" w14:textId="77777777" w:rsidR="005C6469" w:rsidRPr="0013089C" w:rsidRDefault="005C6469" w:rsidP="005C6469">
      <w:pPr>
        <w:pStyle w:val="Heading1"/>
        <w:numPr>
          <w:ilvl w:val="0"/>
          <w:numId w:val="9"/>
        </w:numPr>
        <w:spacing w:after="120"/>
        <w:ind w:left="357" w:hanging="357"/>
        <w:rPr>
          <w:rFonts w:eastAsia="MS Mincho"/>
        </w:rPr>
      </w:pPr>
      <w:r>
        <w:t>Discussion</w:t>
      </w:r>
    </w:p>
    <w:p w14:paraId="55DD64E6" w14:textId="77777777" w:rsidR="005C6469" w:rsidRPr="00E94BA0" w:rsidRDefault="005C6469" w:rsidP="005C6469">
      <w:pPr>
        <w:jc w:val="both"/>
        <w:rPr>
          <w:lang w:val="en-US"/>
        </w:rPr>
      </w:pPr>
      <w:r w:rsidRPr="00E94BA0">
        <w:rPr>
          <w:lang w:val="en-US"/>
        </w:rPr>
        <w:t xml:space="preserve">Using just the existing LTE PSS/SSS synchronisation signals, a UE at extended coverage would require about 850 ms to reacquire synchronisation [1], which is significant.  One of the proposed techniques to reduce system acquisition time is to introduce new synchronisation channels.  The new synchronisation channels, MTC Synchronisation Signal (MSS) can be denser in time (i.e. transmitted more frequently) than those in PSS </w:t>
      </w:r>
      <w:r w:rsidRPr="00E94BA0">
        <w:rPr>
          <w:lang w:val="en-US"/>
        </w:rPr>
        <w:lastRenderedPageBreak/>
        <w:t>and SSS. This would enable the UE in poor coverage to accumulate the required number of MSS samples to obtain sync with the eNB in a shorter time than using the sparsely distributed PSS/SSS.</w:t>
      </w:r>
    </w:p>
    <w:p w14:paraId="2974B44E" w14:textId="387E3C9C" w:rsidR="005C6469" w:rsidRPr="00E94BA0" w:rsidRDefault="005C6469" w:rsidP="005C6469">
      <w:pPr>
        <w:jc w:val="both"/>
        <w:rPr>
          <w:b/>
          <w:lang w:val="en-US"/>
        </w:rPr>
      </w:pPr>
      <w:r w:rsidRPr="00E94BA0">
        <w:rPr>
          <w:b/>
          <w:lang w:val="en-US"/>
        </w:rPr>
        <w:t xml:space="preserve">Observation 1: The new synchronisation channel (MSS) is transmitted </w:t>
      </w:r>
      <w:r w:rsidR="00E94BA0">
        <w:rPr>
          <w:b/>
          <w:lang w:val="en-US"/>
        </w:rPr>
        <w:t xml:space="preserve">with a smaller periodicity than that of </w:t>
      </w:r>
      <w:r w:rsidRPr="00E94BA0">
        <w:rPr>
          <w:b/>
          <w:lang w:val="en-US"/>
        </w:rPr>
        <w:t>PSS/SSS since it is used to reduce system acquisition time.</w:t>
      </w:r>
    </w:p>
    <w:p w14:paraId="7D35EBA0" w14:textId="77777777" w:rsidR="005C6469" w:rsidRPr="00E94BA0" w:rsidRDefault="005C6469" w:rsidP="005C6469">
      <w:pPr>
        <w:jc w:val="both"/>
        <w:rPr>
          <w:lang w:val="en-US"/>
        </w:rPr>
      </w:pPr>
    </w:p>
    <w:p w14:paraId="6492D3CF" w14:textId="685CCE6E" w:rsidR="00FB4961" w:rsidRDefault="009045B8" w:rsidP="005C6469">
      <w:pPr>
        <w:jc w:val="both"/>
      </w:pPr>
      <w:r>
        <w:rPr>
          <w:noProof/>
        </w:rPr>
        <w:drawing>
          <wp:inline distT="0" distB="0" distL="0" distR="0" wp14:anchorId="17611C0F" wp14:editId="0B04A5F5">
            <wp:extent cx="6122035" cy="38265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826510"/>
                    </a:xfrm>
                    <a:prstGeom prst="rect">
                      <a:avLst/>
                    </a:prstGeom>
                  </pic:spPr>
                </pic:pic>
              </a:graphicData>
            </a:graphic>
          </wp:inline>
        </w:drawing>
      </w:r>
    </w:p>
    <w:p w14:paraId="65A12CCB" w14:textId="420D5080" w:rsidR="00FB4961" w:rsidRPr="00E94BA0" w:rsidRDefault="00FB4961" w:rsidP="00FB4961">
      <w:pPr>
        <w:pStyle w:val="Caption"/>
        <w:jc w:val="center"/>
        <w:rPr>
          <w:lang w:val="en-US"/>
        </w:rPr>
      </w:pPr>
      <w:bookmarkStart w:id="13" w:name="_Ref490146775"/>
      <w:r w:rsidRPr="00E94BA0">
        <w:rPr>
          <w:lang w:val="en-US"/>
        </w:rPr>
        <w:t xml:space="preserve">Figure </w:t>
      </w:r>
      <w:r w:rsidR="00A52DC2">
        <w:fldChar w:fldCharType="begin"/>
      </w:r>
      <w:r w:rsidR="00A52DC2" w:rsidRPr="00E94BA0">
        <w:rPr>
          <w:lang w:val="en-US"/>
        </w:rPr>
        <w:instrText xml:space="preserve"> SEQ Figure \* ARABIC </w:instrText>
      </w:r>
      <w:r w:rsidR="00A52DC2">
        <w:fldChar w:fldCharType="separate"/>
      </w:r>
      <w:r w:rsidRPr="00E94BA0">
        <w:rPr>
          <w:noProof/>
          <w:lang w:val="en-US"/>
        </w:rPr>
        <w:t>1</w:t>
      </w:r>
      <w:r w:rsidR="00A52DC2">
        <w:rPr>
          <w:noProof/>
        </w:rPr>
        <w:fldChar w:fldCharType="end"/>
      </w:r>
      <w:bookmarkEnd w:id="13"/>
      <w:r w:rsidRPr="00E94BA0">
        <w:rPr>
          <w:lang w:val="en-US"/>
        </w:rPr>
        <w:t>: SIB1-BR acquisition time</w:t>
      </w:r>
    </w:p>
    <w:p w14:paraId="13D62827" w14:textId="77777777" w:rsidR="00FB4961" w:rsidRPr="00E94BA0" w:rsidRDefault="00FB4961" w:rsidP="00FB4961">
      <w:pPr>
        <w:rPr>
          <w:lang w:val="en-US"/>
        </w:rPr>
      </w:pPr>
    </w:p>
    <w:p w14:paraId="189D4A6B" w14:textId="5699D6B0" w:rsidR="005C6469" w:rsidRPr="00E94BA0" w:rsidRDefault="00FB4961" w:rsidP="005C6469">
      <w:pPr>
        <w:jc w:val="both"/>
        <w:rPr>
          <w:lang w:val="en-US"/>
        </w:rPr>
      </w:pPr>
      <w:r>
        <w:fldChar w:fldCharType="begin"/>
      </w:r>
      <w:r w:rsidRPr="00E94BA0">
        <w:rPr>
          <w:lang w:val="en-US"/>
        </w:rPr>
        <w:instrText xml:space="preserve"> REF _Ref490146775 \h </w:instrText>
      </w:r>
      <w:r>
        <w:fldChar w:fldCharType="separate"/>
      </w:r>
      <w:r w:rsidRPr="00E94BA0">
        <w:rPr>
          <w:lang w:val="en-US"/>
        </w:rPr>
        <w:t xml:space="preserve">Figure </w:t>
      </w:r>
      <w:r w:rsidRPr="00E94BA0">
        <w:rPr>
          <w:noProof/>
          <w:lang w:val="en-US"/>
        </w:rPr>
        <w:t>1</w:t>
      </w:r>
      <w:r>
        <w:fldChar w:fldCharType="end"/>
      </w:r>
      <w:r w:rsidRPr="00E94BA0">
        <w:rPr>
          <w:lang w:val="en-US"/>
        </w:rPr>
        <w:t xml:space="preserve"> shows the SIB1-BR acquisition time</w:t>
      </w:r>
      <w:r w:rsidR="00230053" w:rsidRPr="00E94BA0">
        <w:rPr>
          <w:lang w:val="en-US"/>
        </w:rPr>
        <w:t xml:space="preserve"> based on simulation assumptions in the Appendix, where it can be observed that the 90</w:t>
      </w:r>
      <w:r w:rsidR="00DE2DA4" w:rsidRPr="00E94BA0">
        <w:rPr>
          <w:lang w:val="en-US"/>
        </w:rPr>
        <w:t>th</w:t>
      </w:r>
      <w:r w:rsidR="00230053" w:rsidRPr="00E94BA0">
        <w:rPr>
          <w:lang w:val="en-US"/>
        </w:rPr>
        <w:t xml:space="preserve">-percentile is about </w:t>
      </w:r>
      <w:r w:rsidR="00EA0E7C">
        <w:rPr>
          <w:lang w:val="en-US"/>
        </w:rPr>
        <w:t>35</w:t>
      </w:r>
      <w:r w:rsidR="00840920">
        <w:rPr>
          <w:lang w:val="en-US"/>
        </w:rPr>
        <w:t xml:space="preserve">0ms and </w:t>
      </w:r>
      <w:r w:rsidR="00EA0E7C">
        <w:rPr>
          <w:lang w:val="en-US"/>
        </w:rPr>
        <w:t>10</w:t>
      </w:r>
      <w:r w:rsidR="00230053" w:rsidRPr="00E94BA0">
        <w:rPr>
          <w:lang w:val="en-US"/>
        </w:rPr>
        <w:t>00 ms</w:t>
      </w:r>
      <w:r w:rsidR="00840920">
        <w:rPr>
          <w:lang w:val="en-US"/>
        </w:rPr>
        <w:t xml:space="preserve"> for UE Noise Figure of 5 dB and 9 dB respectively</w:t>
      </w:r>
      <w:r w:rsidR="00230053" w:rsidRPr="00E94BA0">
        <w:rPr>
          <w:lang w:val="en-US"/>
        </w:rPr>
        <w:t xml:space="preserve">.  The SI Value Tag currently resides in SIB1-BR and after obtaining the sync, the UE needs to spend another </w:t>
      </w:r>
      <w:r w:rsidR="00EA0E7C">
        <w:rPr>
          <w:lang w:val="en-US"/>
        </w:rPr>
        <w:t>35</w:t>
      </w:r>
      <w:r w:rsidR="00230053" w:rsidRPr="00E94BA0">
        <w:rPr>
          <w:lang w:val="en-US"/>
        </w:rPr>
        <w:t>0ms</w:t>
      </w:r>
      <w:r w:rsidR="00840920">
        <w:rPr>
          <w:lang w:val="en-US"/>
        </w:rPr>
        <w:t xml:space="preserve"> to </w:t>
      </w:r>
      <w:r w:rsidR="00EA0E7C">
        <w:rPr>
          <w:lang w:val="en-US"/>
        </w:rPr>
        <w:t>10</w:t>
      </w:r>
      <w:bookmarkStart w:id="14" w:name="_GoBack"/>
      <w:bookmarkEnd w:id="14"/>
      <w:r w:rsidR="00840920">
        <w:rPr>
          <w:lang w:val="en-US"/>
        </w:rPr>
        <w:t>00ms</w:t>
      </w:r>
      <w:r w:rsidR="00230053" w:rsidRPr="00E94BA0">
        <w:rPr>
          <w:lang w:val="en-US"/>
        </w:rPr>
        <w:t xml:space="preserve"> to determine whether there is a change in the SI.  </w:t>
      </w:r>
      <w:r w:rsidR="005C6469" w:rsidRPr="00E94BA0">
        <w:rPr>
          <w:lang w:val="en-US"/>
        </w:rPr>
        <w:t>As noted in [2]</w:t>
      </w:r>
      <w:r w:rsidR="00791264" w:rsidRPr="00E94BA0">
        <w:rPr>
          <w:lang w:val="en-US"/>
        </w:rPr>
        <w:t>,</w:t>
      </w:r>
      <w:r w:rsidR="005C6469" w:rsidRPr="00E94BA0">
        <w:rPr>
          <w:lang w:val="en-US"/>
        </w:rPr>
        <w:t xml:space="preserve"> MSS needs to have a different sequence to that used by PSS/SSS to avoid legacy UEs from detecting it.  Since a new set of sequences needs to be designed for MSS, it would make sense to also include some information in these sequences that would help to reduce system acquisition, for example the SI version number.  If the SI version number is different from that stored in the UE, the UE would then read the MIB and SIBs</w:t>
      </w:r>
      <w:r w:rsidR="00DE2DA4" w:rsidRPr="00E94BA0">
        <w:rPr>
          <w:lang w:val="en-US"/>
        </w:rPr>
        <w:t>,</w:t>
      </w:r>
      <w:r w:rsidR="005C6469" w:rsidRPr="00E94BA0">
        <w:rPr>
          <w:lang w:val="en-US"/>
        </w:rPr>
        <w:t xml:space="preserve"> otherwise it can avoid reading them.  We would expect that most of the time the SI does not change and so the UE would reuse the MSS sequence corresponding to the last SI version and hence this would not lead to a significant amount of blind detection for MSS by the UE.</w:t>
      </w:r>
    </w:p>
    <w:p w14:paraId="653CB6EC" w14:textId="77777777" w:rsidR="005C6469" w:rsidRPr="00E94BA0" w:rsidRDefault="005C6469" w:rsidP="005C6469">
      <w:pPr>
        <w:jc w:val="both"/>
        <w:rPr>
          <w:b/>
          <w:lang w:val="en-US"/>
        </w:rPr>
      </w:pPr>
      <w:r w:rsidRPr="00E94BA0">
        <w:rPr>
          <w:b/>
          <w:lang w:val="en-US"/>
        </w:rPr>
        <w:t>Proposal 1: The sequences for the new synchronisation channel (MSS) are different to those used for PSS &amp; SSS.</w:t>
      </w:r>
    </w:p>
    <w:p w14:paraId="65426395" w14:textId="77777777" w:rsidR="005C6469" w:rsidRPr="00E94BA0" w:rsidRDefault="005C6469" w:rsidP="005C6469">
      <w:pPr>
        <w:jc w:val="both"/>
        <w:rPr>
          <w:b/>
          <w:lang w:val="en-US"/>
        </w:rPr>
      </w:pPr>
      <w:r w:rsidRPr="00E94BA0">
        <w:rPr>
          <w:b/>
          <w:lang w:val="en-US"/>
        </w:rPr>
        <w:t>Proposal 2: The sequences for MSS would also indicate the SI version number to indicate whether the UE needs to read the MIB &amp; SIBs.</w:t>
      </w:r>
    </w:p>
    <w:p w14:paraId="3EF341E4" w14:textId="77777777" w:rsidR="005C6469" w:rsidRPr="00E94BA0" w:rsidRDefault="005C6469" w:rsidP="005C6469">
      <w:pPr>
        <w:jc w:val="both"/>
        <w:rPr>
          <w:lang w:val="en-US"/>
        </w:rPr>
      </w:pPr>
    </w:p>
    <w:p w14:paraId="15339DD9" w14:textId="42E7AC4D" w:rsidR="005C6469" w:rsidRPr="00E94BA0" w:rsidRDefault="005C6469" w:rsidP="005C6469">
      <w:pPr>
        <w:jc w:val="both"/>
        <w:rPr>
          <w:lang w:val="en-US"/>
        </w:rPr>
      </w:pPr>
      <w:r w:rsidRPr="00E94BA0">
        <w:rPr>
          <w:lang w:val="en-US"/>
        </w:rPr>
        <w:lastRenderedPageBreak/>
        <w:t xml:space="preserve">The PSS &amp; SSS are located in the central narrowband within the system bandwidth.  Since the MSS targets only the MTC UEs, it need not be restricted in the congested central narrowband but can be placed in another narrowband </w:t>
      </w:r>
      <w:r w:rsidR="00791264" w:rsidRPr="00E94BA0">
        <w:rPr>
          <w:lang w:val="en-US"/>
        </w:rPr>
        <w:t xml:space="preserve">[3] </w:t>
      </w:r>
      <w:r w:rsidRPr="00E94BA0">
        <w:rPr>
          <w:lang w:val="en-US"/>
        </w:rPr>
        <w:t>where it can be transmitted more frequently with fewer other physical channels interrupting its transmission.  The eNB can indicate the presence of MSS together with the narrowband it is located in to the UE via RRC signalling or via broadcast signalling in the SIB. The UE can then use the known parameters of the MSS for re-acquisition of the current cell.</w:t>
      </w:r>
    </w:p>
    <w:p w14:paraId="783B5563" w14:textId="0405493B" w:rsidR="005C6469" w:rsidRPr="00E94BA0" w:rsidRDefault="005C6469" w:rsidP="005C6469">
      <w:pPr>
        <w:jc w:val="both"/>
        <w:rPr>
          <w:b/>
          <w:lang w:val="en-US"/>
        </w:rPr>
      </w:pPr>
      <w:r w:rsidRPr="00E94BA0">
        <w:rPr>
          <w:b/>
          <w:lang w:val="en-US"/>
        </w:rPr>
        <w:t xml:space="preserve">Proposal 3: The location of the new synchronisation channel (MSS) can be </w:t>
      </w:r>
      <w:r w:rsidR="00DD01CF" w:rsidRPr="00E94BA0">
        <w:rPr>
          <w:b/>
          <w:lang w:val="en-US"/>
        </w:rPr>
        <w:t xml:space="preserve">configured to occur </w:t>
      </w:r>
      <w:r w:rsidRPr="00E94BA0">
        <w:rPr>
          <w:b/>
          <w:lang w:val="en-US"/>
        </w:rPr>
        <w:t>in a different narrowband to that used by PSS &amp; SSS.</w:t>
      </w:r>
    </w:p>
    <w:p w14:paraId="1747A2B7" w14:textId="77777777" w:rsidR="005C6469" w:rsidRPr="00E94BA0" w:rsidRDefault="005C6469" w:rsidP="005C6469">
      <w:pPr>
        <w:jc w:val="both"/>
        <w:rPr>
          <w:lang w:val="en-US"/>
        </w:rPr>
      </w:pPr>
    </w:p>
    <w:p w14:paraId="323A01C0" w14:textId="77777777" w:rsidR="005C6469" w:rsidRPr="00E94BA0" w:rsidRDefault="005C6469" w:rsidP="005C6469">
      <w:pPr>
        <w:jc w:val="both"/>
        <w:rPr>
          <w:lang w:val="en-US"/>
        </w:rPr>
      </w:pPr>
      <w:r w:rsidRPr="00E94BA0">
        <w:rPr>
          <w:lang w:val="en-US"/>
        </w:rPr>
        <w:t>In addition for using the MSS for initial system acquisition, the MSS can also be used by an HD-FDD UE during Uplink Compensation Gaps (UCG) for frequency offset tracking during a long uplink transmission.  This can reduce the time for UCG and thereby reduce the overall uplink transmission time.  Whether the eNB can configure a different UCG for UEs capable of reading MSS when MSS is configured can be FSS.</w:t>
      </w:r>
    </w:p>
    <w:p w14:paraId="7661F039" w14:textId="77777777" w:rsidR="005C6469" w:rsidRPr="00E94BA0" w:rsidRDefault="005C6469" w:rsidP="005C6469">
      <w:pPr>
        <w:jc w:val="both"/>
        <w:rPr>
          <w:b/>
          <w:lang w:val="en-US"/>
        </w:rPr>
      </w:pPr>
      <w:r w:rsidRPr="00E94BA0">
        <w:rPr>
          <w:b/>
          <w:lang w:val="en-US"/>
        </w:rPr>
        <w:t>Observation 2: The new and denser synchronisation channel can be used by an HD-FDD UE during its uplink compensation gaps.</w:t>
      </w:r>
    </w:p>
    <w:p w14:paraId="2649B3DE" w14:textId="77777777" w:rsidR="005C6469" w:rsidRPr="00E94BA0" w:rsidRDefault="005C6469" w:rsidP="005C6469">
      <w:pPr>
        <w:jc w:val="both"/>
        <w:rPr>
          <w:lang w:val="en-US"/>
        </w:rPr>
      </w:pPr>
    </w:p>
    <w:p w14:paraId="74861A8C" w14:textId="77777777" w:rsidR="005C6469" w:rsidRPr="00E94BA0" w:rsidRDefault="005C6469" w:rsidP="005C6469">
      <w:pPr>
        <w:jc w:val="both"/>
        <w:rPr>
          <w:lang w:val="en-US"/>
        </w:rPr>
      </w:pPr>
      <w:r w:rsidRPr="00E94BA0">
        <w:rPr>
          <w:lang w:val="en-US"/>
        </w:rPr>
        <w:t>Since MSS uses a different sequence and can be located in a different narrowband, it is suitable for system re-acquisition (i.e. warm start) rather than initial system acquisition (i.e. cold start).  However, we see no reason why MSS cannot also be used for initial system acquisition if the sequences are limited to a known and manageable set and the MSS are transmitted in narrowbands that correspond to the UE channel raster.  The use of MSS for initial system acquisition is of course up to UE implementation.</w:t>
      </w:r>
    </w:p>
    <w:p w14:paraId="57B550F6" w14:textId="43A2D2DC" w:rsidR="005C6469" w:rsidRPr="00E94BA0" w:rsidRDefault="005C6469" w:rsidP="005C6469">
      <w:pPr>
        <w:jc w:val="both"/>
        <w:rPr>
          <w:rFonts w:eastAsia="MS Mincho"/>
          <w:b/>
          <w:lang w:val="en-US"/>
        </w:rPr>
      </w:pPr>
      <w:r w:rsidRPr="00E94BA0">
        <w:rPr>
          <w:b/>
          <w:lang w:val="en-US"/>
        </w:rPr>
        <w:t xml:space="preserve">Observation 3: Although MSS is targeted at system re-acquisition, it can </w:t>
      </w:r>
      <w:r w:rsidR="0076096A">
        <w:rPr>
          <w:b/>
          <w:lang w:val="en-US"/>
        </w:rPr>
        <w:t xml:space="preserve">also </w:t>
      </w:r>
      <w:r w:rsidRPr="00E94BA0">
        <w:rPr>
          <w:b/>
          <w:lang w:val="en-US"/>
        </w:rPr>
        <w:t xml:space="preserve">be used for initial system acquisition. </w:t>
      </w:r>
    </w:p>
    <w:p w14:paraId="61EFE0FB" w14:textId="77777777" w:rsidR="005C6469" w:rsidRPr="00E94BA0" w:rsidRDefault="005C6469" w:rsidP="005C6469">
      <w:pPr>
        <w:jc w:val="both"/>
        <w:rPr>
          <w:rFonts w:eastAsia="MS Mincho"/>
          <w:lang w:val="en-US"/>
        </w:rPr>
      </w:pPr>
    </w:p>
    <w:p w14:paraId="4A96E170" w14:textId="77777777" w:rsidR="005C6469" w:rsidRPr="00E94BA0" w:rsidRDefault="005C6469" w:rsidP="005C6469">
      <w:pPr>
        <w:jc w:val="both"/>
        <w:rPr>
          <w:rFonts w:eastAsia="MS Mincho"/>
          <w:lang w:val="en-US"/>
        </w:rPr>
      </w:pPr>
      <w:r w:rsidRPr="00E94BA0">
        <w:rPr>
          <w:rFonts w:eastAsia="MS Mincho"/>
          <w:lang w:val="en-US"/>
        </w:rPr>
        <w:t>The use of NB-IoT NPSS/NSSS by an efe-MTC UE is only suitable for UEs that can support both efe-MTC and NB-IoT and it should be up to UE implementation.  It should also be noted that NPSS/NSSS are restricted to 1 narrowband whereas the new synchronisation channel, MSS can occupy a larger bandwidth.  Also the NPSS/NSSS can only be used if the eNB also operates NB-IoT on top of efe-MTC since transmitting just the NPSS/NSSS alone would lead to NB-IoT UEs camping onto the eNB unnecessarily.</w:t>
      </w:r>
    </w:p>
    <w:p w14:paraId="195360E1" w14:textId="77777777" w:rsidR="005C6469" w:rsidRPr="00E94BA0" w:rsidRDefault="005C6469" w:rsidP="005C6469">
      <w:pPr>
        <w:jc w:val="both"/>
        <w:rPr>
          <w:rFonts w:eastAsia="MS Mincho"/>
          <w:b/>
          <w:lang w:val="en-US"/>
        </w:rPr>
      </w:pPr>
      <w:r w:rsidRPr="00E94BA0">
        <w:rPr>
          <w:rFonts w:eastAsia="MS Mincho"/>
          <w:b/>
          <w:lang w:val="en-US"/>
        </w:rPr>
        <w:t>Proposal 4: The use of NPSS/NSSS for efe-MTC UE is up to UE implementation and need not be specified in the specifications.</w:t>
      </w:r>
    </w:p>
    <w:p w14:paraId="2EB84D63" w14:textId="77777777" w:rsidR="005C6469" w:rsidRPr="00E94BA0" w:rsidRDefault="005C6469" w:rsidP="005C6469">
      <w:pPr>
        <w:jc w:val="both"/>
        <w:rPr>
          <w:rFonts w:eastAsia="MS Mincho"/>
          <w:b/>
          <w:lang w:val="en-US"/>
        </w:rPr>
      </w:pPr>
    </w:p>
    <w:p w14:paraId="6F7DAAE6" w14:textId="77777777" w:rsidR="005C6469" w:rsidRDefault="005C6469" w:rsidP="005C6469">
      <w:pPr>
        <w:pStyle w:val="Heading1"/>
        <w:numPr>
          <w:ilvl w:val="0"/>
          <w:numId w:val="9"/>
        </w:numPr>
      </w:pPr>
      <w:r>
        <w:t xml:space="preserve">  Conclusion</w:t>
      </w:r>
    </w:p>
    <w:p w14:paraId="431234E3" w14:textId="77777777" w:rsidR="005C6469" w:rsidRPr="00E94BA0" w:rsidRDefault="005C6469" w:rsidP="005C6469">
      <w:pPr>
        <w:jc w:val="both"/>
        <w:rPr>
          <w:lang w:val="en-US"/>
        </w:rPr>
      </w:pPr>
      <w:r w:rsidRPr="00E94BA0">
        <w:rPr>
          <w:lang w:val="en-US"/>
        </w:rPr>
        <w:t>In this contribution we discuss some aspects of using a new synchronisation channel:</w:t>
      </w:r>
    </w:p>
    <w:p w14:paraId="2170854F" w14:textId="2E5452BE" w:rsidR="00230053" w:rsidRPr="00E94BA0" w:rsidRDefault="00E94BA0" w:rsidP="00230053">
      <w:pPr>
        <w:jc w:val="both"/>
        <w:rPr>
          <w:b/>
          <w:lang w:val="en-US"/>
        </w:rPr>
      </w:pPr>
      <w:r w:rsidRPr="00E94BA0">
        <w:rPr>
          <w:b/>
          <w:lang w:val="en-US"/>
        </w:rPr>
        <w:t xml:space="preserve">Observation 1: The new synchronisation channel (MSS) is transmitted </w:t>
      </w:r>
      <w:r>
        <w:rPr>
          <w:b/>
          <w:lang w:val="en-US"/>
        </w:rPr>
        <w:t xml:space="preserve">with a smaller periodicity than that of </w:t>
      </w:r>
      <w:r w:rsidRPr="00E94BA0">
        <w:rPr>
          <w:b/>
          <w:lang w:val="en-US"/>
        </w:rPr>
        <w:t>PSS/SSS since it is used to reduce system acquisition time.</w:t>
      </w:r>
    </w:p>
    <w:p w14:paraId="1BBA62FE" w14:textId="2AA6499C" w:rsidR="005C6469" w:rsidRPr="00E94BA0" w:rsidRDefault="00230053" w:rsidP="005C6469">
      <w:pPr>
        <w:jc w:val="both"/>
        <w:rPr>
          <w:b/>
          <w:lang w:val="en-US"/>
        </w:rPr>
      </w:pPr>
      <w:r w:rsidRPr="00E94BA0">
        <w:rPr>
          <w:b/>
          <w:lang w:val="en-US"/>
        </w:rPr>
        <w:t>Observation 2: The new and denser synchronisation channel can be used by an HD-FDD UE during its uplink compensation gaps</w:t>
      </w:r>
      <w:r w:rsidR="005C6469" w:rsidRPr="00E94BA0">
        <w:rPr>
          <w:b/>
          <w:lang w:val="en-US"/>
        </w:rPr>
        <w:t>.</w:t>
      </w:r>
    </w:p>
    <w:p w14:paraId="4FAE36B9" w14:textId="58802D71" w:rsidR="00230053" w:rsidRPr="00E94BA0" w:rsidRDefault="00230053" w:rsidP="005C6469">
      <w:pPr>
        <w:jc w:val="both"/>
        <w:rPr>
          <w:rFonts w:eastAsia="MS Mincho"/>
          <w:b/>
          <w:lang w:val="en-US"/>
        </w:rPr>
      </w:pPr>
      <w:r w:rsidRPr="00E94BA0">
        <w:rPr>
          <w:b/>
          <w:lang w:val="en-US"/>
        </w:rPr>
        <w:lastRenderedPageBreak/>
        <w:t xml:space="preserve">Observation 3: Although MSS is targeted at system re-acquisition, it can </w:t>
      </w:r>
      <w:r w:rsidR="0076096A">
        <w:rPr>
          <w:b/>
          <w:lang w:val="en-US"/>
        </w:rPr>
        <w:t xml:space="preserve">also </w:t>
      </w:r>
      <w:r w:rsidRPr="00E94BA0">
        <w:rPr>
          <w:b/>
          <w:lang w:val="en-US"/>
        </w:rPr>
        <w:t>be usedfor initial system acquisition.</w:t>
      </w:r>
    </w:p>
    <w:p w14:paraId="58747580" w14:textId="77777777" w:rsidR="005C6469" w:rsidRPr="00E94BA0" w:rsidRDefault="005C6469" w:rsidP="005C6469">
      <w:pPr>
        <w:jc w:val="both"/>
        <w:rPr>
          <w:lang w:val="en-US"/>
        </w:rPr>
      </w:pPr>
    </w:p>
    <w:p w14:paraId="06CC976E" w14:textId="77777777" w:rsidR="005C6469" w:rsidRPr="00E94BA0" w:rsidRDefault="005C6469" w:rsidP="005C6469">
      <w:pPr>
        <w:jc w:val="both"/>
        <w:rPr>
          <w:lang w:val="en-US"/>
        </w:rPr>
      </w:pPr>
      <w:r w:rsidRPr="00E94BA0">
        <w:rPr>
          <w:lang w:val="en-US"/>
        </w:rPr>
        <w:t>We propose the following:</w:t>
      </w:r>
    </w:p>
    <w:p w14:paraId="51ABE4C4" w14:textId="77777777" w:rsidR="00230053" w:rsidRPr="00E94BA0" w:rsidRDefault="00230053" w:rsidP="00230053">
      <w:pPr>
        <w:jc w:val="both"/>
        <w:rPr>
          <w:b/>
          <w:lang w:val="en-US"/>
        </w:rPr>
      </w:pPr>
      <w:r w:rsidRPr="00E94BA0">
        <w:rPr>
          <w:b/>
          <w:lang w:val="en-US"/>
        </w:rPr>
        <w:t>Proposal 1: The sequences for the new synchronisation channel (MSS) are different to those used for PSS &amp; SSS.</w:t>
      </w:r>
    </w:p>
    <w:p w14:paraId="551378F7" w14:textId="4A741E20" w:rsidR="005C6469" w:rsidRPr="00E94BA0" w:rsidRDefault="00230053" w:rsidP="00230053">
      <w:pPr>
        <w:jc w:val="both"/>
        <w:rPr>
          <w:rFonts w:eastAsia="MS Mincho"/>
          <w:b/>
          <w:lang w:val="en-US"/>
        </w:rPr>
      </w:pPr>
      <w:r w:rsidRPr="00E94BA0">
        <w:rPr>
          <w:b/>
          <w:lang w:val="en-US"/>
        </w:rPr>
        <w:t>Proposal 2: The sequences for MSS would also indicate the SI version number to indicate whether the UE needs to read the MIB &amp; SIBs</w:t>
      </w:r>
      <w:r w:rsidR="005C6469" w:rsidRPr="00E94BA0">
        <w:rPr>
          <w:rFonts w:eastAsia="MS Mincho"/>
          <w:b/>
          <w:lang w:val="en-US"/>
        </w:rPr>
        <w:t>.</w:t>
      </w:r>
    </w:p>
    <w:p w14:paraId="63B4932E" w14:textId="64F36189" w:rsidR="00230053" w:rsidRPr="00E94BA0" w:rsidRDefault="00230053" w:rsidP="00230053">
      <w:pPr>
        <w:jc w:val="both"/>
        <w:rPr>
          <w:b/>
          <w:lang w:val="en-US"/>
        </w:rPr>
      </w:pPr>
      <w:r w:rsidRPr="00E94BA0">
        <w:rPr>
          <w:b/>
          <w:lang w:val="en-US"/>
        </w:rPr>
        <w:t>Proposal 3: The location of the new synchronisation channel (MSS) can be configured to occur in a different narrowband to that used by PSS &amp; SSS.</w:t>
      </w:r>
    </w:p>
    <w:p w14:paraId="27EDB2DC" w14:textId="13E15AC0" w:rsidR="00230053" w:rsidRPr="00E94BA0" w:rsidRDefault="00230053" w:rsidP="00230053">
      <w:pPr>
        <w:jc w:val="both"/>
        <w:rPr>
          <w:rFonts w:eastAsia="MS Mincho"/>
          <w:lang w:val="en-US"/>
        </w:rPr>
      </w:pPr>
      <w:r w:rsidRPr="00E94BA0">
        <w:rPr>
          <w:rFonts w:eastAsia="MS Mincho"/>
          <w:b/>
          <w:lang w:val="en-US"/>
        </w:rPr>
        <w:t>Proposal 4: The use of NPSS/NSSS for efe-MTC UE is up to UE implementation and need not be specified in the specifications.</w:t>
      </w:r>
    </w:p>
    <w:p w14:paraId="67148AD9" w14:textId="77777777" w:rsidR="005C6469" w:rsidRDefault="005C6469" w:rsidP="005C6469">
      <w:pPr>
        <w:pStyle w:val="Heading1"/>
        <w:numPr>
          <w:ilvl w:val="0"/>
          <w:numId w:val="9"/>
        </w:numPr>
      </w:pPr>
      <w:r>
        <w:t>References</w:t>
      </w:r>
    </w:p>
    <w:p w14:paraId="1A1F8EFC" w14:textId="77777777" w:rsidR="005C6469" w:rsidRPr="00E94BA0" w:rsidRDefault="005C6469" w:rsidP="005C6469">
      <w:pPr>
        <w:rPr>
          <w:lang w:val="en-US"/>
        </w:rPr>
      </w:pPr>
      <w:r w:rsidRPr="00E94BA0">
        <w:rPr>
          <w:lang w:val="en-US"/>
        </w:rPr>
        <w:t>[1]</w:t>
      </w:r>
      <w:r w:rsidRPr="00E94BA0">
        <w:rPr>
          <w:lang w:val="en-US"/>
        </w:rPr>
        <w:tab/>
        <w:t>White Paper “Coverage Analysis of LTE-M Category-M1” Sierra Wireless, Ericsson, Altair, Sony, Virtuosys, AT&amp;T, Verizon, Sequans, Orange, KDDI, Nokia, DoCoMo, KT, SoftBank, Telkomsel, SK Telecom, 2016</w:t>
      </w:r>
    </w:p>
    <w:p w14:paraId="47BD1F74" w14:textId="24A75800" w:rsidR="005C6469" w:rsidRPr="00E94BA0" w:rsidRDefault="005C6469" w:rsidP="005C6469">
      <w:pPr>
        <w:rPr>
          <w:lang w:val="en-US"/>
        </w:rPr>
      </w:pPr>
      <w:r w:rsidRPr="00E94BA0">
        <w:rPr>
          <w:lang w:val="en-US"/>
        </w:rPr>
        <w:t>[2]</w:t>
      </w:r>
      <w:r w:rsidRPr="00E94BA0">
        <w:rPr>
          <w:lang w:val="en-US"/>
        </w:rPr>
        <w:tab/>
      </w:r>
      <w:r w:rsidR="00791264" w:rsidRPr="00E94BA0">
        <w:rPr>
          <w:lang w:val="en-US"/>
        </w:rPr>
        <w:t>R1-1708363, “System acquisition time reduction for efeMTC,” Intel Corporation, RAN1#89</w:t>
      </w:r>
    </w:p>
    <w:p w14:paraId="58D4A2C5" w14:textId="32B25863" w:rsidR="00791264" w:rsidRPr="00E94BA0" w:rsidRDefault="00791264" w:rsidP="005C6469">
      <w:pPr>
        <w:rPr>
          <w:lang w:val="en-US"/>
        </w:rPr>
      </w:pPr>
      <w:r w:rsidRPr="00E94BA0">
        <w:rPr>
          <w:lang w:val="en-US"/>
        </w:rPr>
        <w:t>[3] R1-1708310, “Reduced PSS/SSS Acquisition Time Analysis,” Sierra Wireless, S.A., RAN1#89</w:t>
      </w:r>
    </w:p>
    <w:p w14:paraId="5511737B" w14:textId="77777777" w:rsidR="00230053" w:rsidRPr="00E94BA0" w:rsidRDefault="00230053" w:rsidP="00230053">
      <w:pPr>
        <w:jc w:val="both"/>
        <w:rPr>
          <w:rFonts w:eastAsia="MS Mincho"/>
          <w:b/>
          <w:lang w:val="en-US"/>
        </w:rPr>
      </w:pPr>
    </w:p>
    <w:p w14:paraId="19880902" w14:textId="39BEB3FF" w:rsidR="00230053" w:rsidRDefault="00230053" w:rsidP="00230053">
      <w:pPr>
        <w:pStyle w:val="Heading1"/>
        <w:numPr>
          <w:ilvl w:val="0"/>
          <w:numId w:val="9"/>
        </w:numPr>
      </w:pPr>
      <w:r>
        <w:t xml:space="preserve">  Appendix</w:t>
      </w:r>
    </w:p>
    <w:p w14:paraId="42C89E3A" w14:textId="0D460CF9" w:rsidR="005139EC" w:rsidRPr="005139EC" w:rsidRDefault="005139EC" w:rsidP="005139EC">
      <w:pPr>
        <w:rPr>
          <w:lang w:val="en-US"/>
        </w:rPr>
      </w:pPr>
      <w:r>
        <w:rPr>
          <w:lang w:val="en-US"/>
        </w:rPr>
        <w:fldChar w:fldCharType="begin"/>
      </w:r>
      <w:r>
        <w:rPr>
          <w:lang w:val="en-US"/>
        </w:rPr>
        <w:instrText xml:space="preserve"> REF _Ref490147739 \h </w:instrText>
      </w:r>
      <w:r>
        <w:rPr>
          <w:lang w:val="en-US"/>
        </w:rPr>
      </w:r>
      <w:r>
        <w:rPr>
          <w:lang w:val="en-US"/>
        </w:rPr>
        <w:fldChar w:fldCharType="separate"/>
      </w:r>
      <w:r w:rsidRPr="00E94BA0">
        <w:rPr>
          <w:lang w:val="en-US"/>
        </w:rPr>
        <w:t xml:space="preserve">Table </w:t>
      </w:r>
      <w:r w:rsidRPr="00E94BA0">
        <w:rPr>
          <w:noProof/>
          <w:lang w:val="en-US"/>
        </w:rPr>
        <w:t>1</w:t>
      </w:r>
      <w:r>
        <w:rPr>
          <w:lang w:val="en-US"/>
        </w:rPr>
        <w:fldChar w:fldCharType="end"/>
      </w:r>
      <w:r>
        <w:rPr>
          <w:lang w:val="en-US"/>
        </w:rPr>
        <w:t xml:space="preserve"> </w:t>
      </w:r>
      <w:r w:rsidRPr="005139EC">
        <w:rPr>
          <w:lang w:val="en-US"/>
        </w:rPr>
        <w:t xml:space="preserve">shows the simulation assumptions used </w:t>
      </w:r>
      <w:r>
        <w:rPr>
          <w:lang w:val="en-US"/>
        </w:rPr>
        <w:t>for simulating the SIB1-BR acquisition time</w:t>
      </w:r>
      <w:r w:rsidRPr="005139EC">
        <w:rPr>
          <w:lang w:val="en-US"/>
        </w:rPr>
        <w:t>.</w:t>
      </w:r>
    </w:p>
    <w:p w14:paraId="256AFC9A" w14:textId="77777777" w:rsidR="005139EC" w:rsidRDefault="005139EC" w:rsidP="005139EC">
      <w:pPr>
        <w:pStyle w:val="Caption"/>
        <w:ind w:left="360"/>
        <w:jc w:val="center"/>
      </w:pPr>
      <w:bookmarkStart w:id="15" w:name="_Ref490147739"/>
      <w:r>
        <w:t xml:space="preserve">Table </w:t>
      </w:r>
      <w:r w:rsidR="005A6C5C">
        <w:fldChar w:fldCharType="begin"/>
      </w:r>
      <w:r w:rsidR="005A6C5C">
        <w:instrText xml:space="preserve"> SEQ Table \* ARABIC </w:instrText>
      </w:r>
      <w:r w:rsidR="005A6C5C">
        <w:fldChar w:fldCharType="separate"/>
      </w:r>
      <w:r>
        <w:rPr>
          <w:noProof/>
        </w:rPr>
        <w:t>1</w:t>
      </w:r>
      <w:r w:rsidR="005A6C5C">
        <w:rPr>
          <w:noProof/>
        </w:rPr>
        <w:fldChar w:fldCharType="end"/>
      </w:r>
      <w:bookmarkEnd w:id="15"/>
      <w:r>
        <w:t xml:space="preserve"> – Simulation assumptions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4678"/>
      </w:tblGrid>
      <w:tr w:rsidR="005139EC" w14:paraId="1C05D7C9" w14:textId="77777777" w:rsidTr="005139EC">
        <w:tc>
          <w:tcPr>
            <w:tcW w:w="3686" w:type="dxa"/>
            <w:tcBorders>
              <w:top w:val="single" w:sz="4" w:space="0" w:color="auto"/>
              <w:left w:val="single" w:sz="4" w:space="0" w:color="auto"/>
              <w:bottom w:val="single" w:sz="4" w:space="0" w:color="auto"/>
              <w:right w:val="single" w:sz="4" w:space="0" w:color="auto"/>
            </w:tcBorders>
            <w:shd w:val="clear" w:color="auto" w:fill="D9D9D9"/>
            <w:hideMark/>
          </w:tcPr>
          <w:p w14:paraId="14695825" w14:textId="77777777" w:rsidR="005139EC" w:rsidRDefault="005139EC" w:rsidP="005139EC">
            <w:pPr>
              <w:jc w:val="center"/>
              <w:rPr>
                <w:b/>
              </w:rPr>
            </w:pPr>
            <w:r>
              <w:rPr>
                <w:b/>
              </w:rPr>
              <w:t>Parameters</w:t>
            </w:r>
          </w:p>
        </w:tc>
        <w:tc>
          <w:tcPr>
            <w:tcW w:w="4678" w:type="dxa"/>
            <w:tcBorders>
              <w:top w:val="single" w:sz="4" w:space="0" w:color="auto"/>
              <w:left w:val="single" w:sz="4" w:space="0" w:color="auto"/>
              <w:bottom w:val="single" w:sz="4" w:space="0" w:color="auto"/>
              <w:right w:val="single" w:sz="4" w:space="0" w:color="auto"/>
            </w:tcBorders>
            <w:shd w:val="clear" w:color="auto" w:fill="D9D9D9"/>
            <w:hideMark/>
          </w:tcPr>
          <w:p w14:paraId="28673FC3" w14:textId="77777777" w:rsidR="005139EC" w:rsidRDefault="005139EC" w:rsidP="005139EC">
            <w:pPr>
              <w:jc w:val="center"/>
              <w:rPr>
                <w:b/>
              </w:rPr>
            </w:pPr>
            <w:r>
              <w:rPr>
                <w:b/>
              </w:rPr>
              <w:t>Values</w:t>
            </w:r>
          </w:p>
        </w:tc>
      </w:tr>
      <w:tr w:rsidR="005139EC" w14:paraId="0CB3F719" w14:textId="77777777" w:rsidTr="005139EC">
        <w:tc>
          <w:tcPr>
            <w:tcW w:w="3686" w:type="dxa"/>
            <w:tcBorders>
              <w:top w:val="single" w:sz="4" w:space="0" w:color="auto"/>
              <w:left w:val="single" w:sz="4" w:space="0" w:color="auto"/>
              <w:bottom w:val="single" w:sz="4" w:space="0" w:color="auto"/>
              <w:right w:val="single" w:sz="4" w:space="0" w:color="auto"/>
            </w:tcBorders>
          </w:tcPr>
          <w:p w14:paraId="2733F97C" w14:textId="3D9AC12D" w:rsidR="005139EC" w:rsidRDefault="007E5F24">
            <w:r>
              <w:t>Channel</w:t>
            </w:r>
          </w:p>
        </w:tc>
        <w:tc>
          <w:tcPr>
            <w:tcW w:w="4678" w:type="dxa"/>
            <w:tcBorders>
              <w:top w:val="single" w:sz="4" w:space="0" w:color="auto"/>
              <w:left w:val="single" w:sz="4" w:space="0" w:color="auto"/>
              <w:bottom w:val="single" w:sz="4" w:space="0" w:color="auto"/>
              <w:right w:val="single" w:sz="4" w:space="0" w:color="auto"/>
            </w:tcBorders>
          </w:tcPr>
          <w:p w14:paraId="0FF6DE1F" w14:textId="74F1A2FA" w:rsidR="005139EC" w:rsidRDefault="007E5F24">
            <w:r>
              <w:t>ETU / 1kmph</w:t>
            </w:r>
          </w:p>
        </w:tc>
      </w:tr>
      <w:tr w:rsidR="005139EC" w14:paraId="3613E8AF" w14:textId="77777777" w:rsidTr="005139EC">
        <w:tc>
          <w:tcPr>
            <w:tcW w:w="3686" w:type="dxa"/>
            <w:tcBorders>
              <w:top w:val="single" w:sz="4" w:space="0" w:color="auto"/>
              <w:left w:val="single" w:sz="4" w:space="0" w:color="auto"/>
              <w:bottom w:val="single" w:sz="4" w:space="0" w:color="auto"/>
              <w:right w:val="single" w:sz="4" w:space="0" w:color="auto"/>
            </w:tcBorders>
          </w:tcPr>
          <w:p w14:paraId="6F1B3785" w14:textId="75064388" w:rsidR="005139EC" w:rsidRDefault="007E5F24">
            <w:r>
              <w:t>Carrier frequency</w:t>
            </w:r>
          </w:p>
        </w:tc>
        <w:tc>
          <w:tcPr>
            <w:tcW w:w="4678" w:type="dxa"/>
            <w:tcBorders>
              <w:top w:val="single" w:sz="4" w:space="0" w:color="auto"/>
              <w:left w:val="single" w:sz="4" w:space="0" w:color="auto"/>
              <w:bottom w:val="single" w:sz="4" w:space="0" w:color="auto"/>
              <w:right w:val="single" w:sz="4" w:space="0" w:color="auto"/>
            </w:tcBorders>
          </w:tcPr>
          <w:p w14:paraId="022DE76D" w14:textId="0C59BC35" w:rsidR="005139EC" w:rsidRDefault="007E5F24">
            <w:r>
              <w:t>900MHz</w:t>
            </w:r>
          </w:p>
        </w:tc>
      </w:tr>
      <w:tr w:rsidR="005139EC" w14:paraId="190BB173" w14:textId="77777777" w:rsidTr="005139EC">
        <w:tc>
          <w:tcPr>
            <w:tcW w:w="3686" w:type="dxa"/>
            <w:tcBorders>
              <w:top w:val="single" w:sz="4" w:space="0" w:color="auto"/>
              <w:left w:val="single" w:sz="4" w:space="0" w:color="auto"/>
              <w:bottom w:val="single" w:sz="4" w:space="0" w:color="auto"/>
              <w:right w:val="single" w:sz="4" w:space="0" w:color="auto"/>
            </w:tcBorders>
          </w:tcPr>
          <w:p w14:paraId="34D2623C" w14:textId="69960435" w:rsidR="005139EC" w:rsidRDefault="007E5F24">
            <w:r>
              <w:t>Antenna configuration</w:t>
            </w:r>
          </w:p>
        </w:tc>
        <w:tc>
          <w:tcPr>
            <w:tcW w:w="4678" w:type="dxa"/>
            <w:tcBorders>
              <w:top w:val="single" w:sz="4" w:space="0" w:color="auto"/>
              <w:left w:val="single" w:sz="4" w:space="0" w:color="auto"/>
              <w:bottom w:val="single" w:sz="4" w:space="0" w:color="auto"/>
              <w:right w:val="single" w:sz="4" w:space="0" w:color="auto"/>
            </w:tcBorders>
          </w:tcPr>
          <w:p w14:paraId="060F6E6B" w14:textId="3B2C65FB" w:rsidR="005139EC" w:rsidRDefault="007E5F24">
            <w:r>
              <w:t>2TX / 1RX</w:t>
            </w:r>
          </w:p>
        </w:tc>
      </w:tr>
      <w:tr w:rsidR="005139EC" w14:paraId="7A847CFA" w14:textId="77777777" w:rsidTr="005139EC">
        <w:tc>
          <w:tcPr>
            <w:tcW w:w="3686" w:type="dxa"/>
            <w:tcBorders>
              <w:top w:val="single" w:sz="4" w:space="0" w:color="auto"/>
              <w:left w:val="single" w:sz="4" w:space="0" w:color="auto"/>
              <w:bottom w:val="single" w:sz="4" w:space="0" w:color="auto"/>
              <w:right w:val="single" w:sz="4" w:space="0" w:color="auto"/>
            </w:tcBorders>
          </w:tcPr>
          <w:p w14:paraId="70A3538E" w14:textId="31512A46" w:rsidR="005139EC" w:rsidRDefault="007E5F24">
            <w:r>
              <w:t>System bandwidth</w:t>
            </w:r>
          </w:p>
        </w:tc>
        <w:tc>
          <w:tcPr>
            <w:tcW w:w="4678" w:type="dxa"/>
            <w:tcBorders>
              <w:top w:val="single" w:sz="4" w:space="0" w:color="auto"/>
              <w:left w:val="single" w:sz="4" w:space="0" w:color="auto"/>
              <w:bottom w:val="single" w:sz="4" w:space="0" w:color="auto"/>
              <w:right w:val="single" w:sz="4" w:space="0" w:color="auto"/>
            </w:tcBorders>
          </w:tcPr>
          <w:p w14:paraId="44C95311" w14:textId="11CF7BFA" w:rsidR="005139EC" w:rsidRDefault="007E5F24">
            <w:r>
              <w:t>5MHz</w:t>
            </w:r>
          </w:p>
        </w:tc>
      </w:tr>
      <w:tr w:rsidR="005139EC" w14:paraId="71701149" w14:textId="77777777" w:rsidTr="005139EC">
        <w:tc>
          <w:tcPr>
            <w:tcW w:w="3686" w:type="dxa"/>
            <w:tcBorders>
              <w:top w:val="single" w:sz="4" w:space="0" w:color="auto"/>
              <w:left w:val="single" w:sz="4" w:space="0" w:color="auto"/>
              <w:bottom w:val="single" w:sz="4" w:space="0" w:color="auto"/>
              <w:right w:val="single" w:sz="4" w:space="0" w:color="auto"/>
            </w:tcBorders>
          </w:tcPr>
          <w:p w14:paraId="47BB7FCD" w14:textId="5FD3D04E" w:rsidR="005139EC" w:rsidRDefault="007E5F24">
            <w:r>
              <w:t>Channel estimation</w:t>
            </w:r>
          </w:p>
        </w:tc>
        <w:tc>
          <w:tcPr>
            <w:tcW w:w="4678" w:type="dxa"/>
            <w:tcBorders>
              <w:top w:val="single" w:sz="4" w:space="0" w:color="auto"/>
              <w:left w:val="single" w:sz="4" w:space="0" w:color="auto"/>
              <w:bottom w:val="single" w:sz="4" w:space="0" w:color="auto"/>
              <w:right w:val="single" w:sz="4" w:space="0" w:color="auto"/>
            </w:tcBorders>
          </w:tcPr>
          <w:p w14:paraId="5BEB19CD" w14:textId="77777777" w:rsidR="005139EC" w:rsidRDefault="007E5F24">
            <w:r>
              <w:t>MMSE</w:t>
            </w:r>
          </w:p>
          <w:p w14:paraId="7F22B469" w14:textId="6CD15576" w:rsidR="007E5F24" w:rsidRDefault="007E5F24">
            <w:r>
              <w:t xml:space="preserve">4 subframe cross-subframe </w:t>
            </w:r>
          </w:p>
        </w:tc>
      </w:tr>
      <w:tr w:rsidR="005139EC" w14:paraId="41A3204F" w14:textId="77777777" w:rsidTr="005139EC">
        <w:tc>
          <w:tcPr>
            <w:tcW w:w="3686" w:type="dxa"/>
            <w:tcBorders>
              <w:top w:val="single" w:sz="4" w:space="0" w:color="auto"/>
              <w:left w:val="single" w:sz="4" w:space="0" w:color="auto"/>
              <w:bottom w:val="single" w:sz="4" w:space="0" w:color="auto"/>
              <w:right w:val="single" w:sz="4" w:space="0" w:color="auto"/>
            </w:tcBorders>
          </w:tcPr>
          <w:p w14:paraId="73540225" w14:textId="35C89398" w:rsidR="005139EC" w:rsidRDefault="007E5F24">
            <w:r>
              <w:t>SIB-BR configuration</w:t>
            </w:r>
          </w:p>
        </w:tc>
        <w:tc>
          <w:tcPr>
            <w:tcW w:w="4678" w:type="dxa"/>
            <w:tcBorders>
              <w:top w:val="single" w:sz="4" w:space="0" w:color="auto"/>
              <w:left w:val="single" w:sz="4" w:space="0" w:color="auto"/>
              <w:bottom w:val="single" w:sz="4" w:space="0" w:color="auto"/>
              <w:right w:val="single" w:sz="4" w:space="0" w:color="auto"/>
            </w:tcBorders>
          </w:tcPr>
          <w:p w14:paraId="6AD2EE48" w14:textId="77777777" w:rsidR="005139EC" w:rsidRDefault="007E5F24">
            <w:r>
              <w:t>TBS = 208</w:t>
            </w:r>
          </w:p>
          <w:p w14:paraId="220BA96A" w14:textId="16537001" w:rsidR="007E5F24" w:rsidRDefault="007E5F24">
            <w:r>
              <w:t>Start symbol: l = 3</w:t>
            </w:r>
          </w:p>
          <w:p w14:paraId="78E3438B" w14:textId="24A758CB" w:rsidR="007E5F24" w:rsidRDefault="007E5F24">
            <w:r>
              <w:t>REP = 16</w:t>
            </w:r>
          </w:p>
        </w:tc>
      </w:tr>
      <w:tr w:rsidR="005139EC" w14:paraId="7A00B92A" w14:textId="77777777" w:rsidTr="005139EC">
        <w:tc>
          <w:tcPr>
            <w:tcW w:w="3686" w:type="dxa"/>
            <w:tcBorders>
              <w:top w:val="single" w:sz="4" w:space="0" w:color="auto"/>
              <w:left w:val="single" w:sz="4" w:space="0" w:color="auto"/>
              <w:bottom w:val="single" w:sz="4" w:space="0" w:color="auto"/>
              <w:right w:val="single" w:sz="4" w:space="0" w:color="auto"/>
            </w:tcBorders>
          </w:tcPr>
          <w:p w14:paraId="2A1B576F" w14:textId="19FCA51E" w:rsidR="005139EC" w:rsidRDefault="007E5F24">
            <w:r>
              <w:lastRenderedPageBreak/>
              <w:t>Frequency offset</w:t>
            </w:r>
          </w:p>
        </w:tc>
        <w:tc>
          <w:tcPr>
            <w:tcW w:w="4678" w:type="dxa"/>
            <w:tcBorders>
              <w:top w:val="single" w:sz="4" w:space="0" w:color="auto"/>
              <w:left w:val="single" w:sz="4" w:space="0" w:color="auto"/>
              <w:bottom w:val="single" w:sz="4" w:space="0" w:color="auto"/>
              <w:right w:val="single" w:sz="4" w:space="0" w:color="auto"/>
            </w:tcBorders>
          </w:tcPr>
          <w:p w14:paraId="75F603E7" w14:textId="0C571FB5" w:rsidR="005139EC" w:rsidRDefault="007E5F24">
            <w:r>
              <w:t>30Hz</w:t>
            </w:r>
          </w:p>
        </w:tc>
      </w:tr>
      <w:tr w:rsidR="005139EC" w14:paraId="22A031EB" w14:textId="77777777" w:rsidTr="005139EC">
        <w:tc>
          <w:tcPr>
            <w:tcW w:w="3686" w:type="dxa"/>
            <w:tcBorders>
              <w:top w:val="single" w:sz="4" w:space="0" w:color="auto"/>
              <w:left w:val="single" w:sz="4" w:space="0" w:color="auto"/>
              <w:bottom w:val="single" w:sz="4" w:space="0" w:color="auto"/>
              <w:right w:val="single" w:sz="4" w:space="0" w:color="auto"/>
            </w:tcBorders>
          </w:tcPr>
          <w:p w14:paraId="08CC7107" w14:textId="056811E3" w:rsidR="005139EC" w:rsidRDefault="007E5F24">
            <w:r>
              <w:t>UE noise figure</w:t>
            </w:r>
          </w:p>
        </w:tc>
        <w:tc>
          <w:tcPr>
            <w:tcW w:w="4678" w:type="dxa"/>
            <w:tcBorders>
              <w:top w:val="single" w:sz="4" w:space="0" w:color="auto"/>
              <w:left w:val="single" w:sz="4" w:space="0" w:color="auto"/>
              <w:bottom w:val="single" w:sz="4" w:space="0" w:color="auto"/>
              <w:right w:val="single" w:sz="4" w:space="0" w:color="auto"/>
            </w:tcBorders>
          </w:tcPr>
          <w:p w14:paraId="2618DB42" w14:textId="0482EE9C" w:rsidR="005139EC" w:rsidRDefault="007E5F24">
            <w:r>
              <w:t>5dB</w:t>
            </w:r>
          </w:p>
        </w:tc>
      </w:tr>
      <w:tr w:rsidR="005139EC" w14:paraId="3B908B0A" w14:textId="77777777" w:rsidTr="005139EC">
        <w:tc>
          <w:tcPr>
            <w:tcW w:w="3686" w:type="dxa"/>
            <w:tcBorders>
              <w:top w:val="single" w:sz="4" w:space="0" w:color="auto"/>
              <w:left w:val="single" w:sz="4" w:space="0" w:color="auto"/>
              <w:bottom w:val="single" w:sz="4" w:space="0" w:color="auto"/>
              <w:right w:val="single" w:sz="4" w:space="0" w:color="auto"/>
            </w:tcBorders>
          </w:tcPr>
          <w:p w14:paraId="76A7CE06" w14:textId="2E08928A" w:rsidR="005139EC" w:rsidRDefault="007E5F24">
            <w:r>
              <w:t>eNB transmit power</w:t>
            </w:r>
          </w:p>
        </w:tc>
        <w:tc>
          <w:tcPr>
            <w:tcW w:w="4678" w:type="dxa"/>
            <w:tcBorders>
              <w:top w:val="single" w:sz="4" w:space="0" w:color="auto"/>
              <w:left w:val="single" w:sz="4" w:space="0" w:color="auto"/>
              <w:bottom w:val="single" w:sz="4" w:space="0" w:color="auto"/>
              <w:right w:val="single" w:sz="4" w:space="0" w:color="auto"/>
            </w:tcBorders>
          </w:tcPr>
          <w:p w14:paraId="1E97AB3A" w14:textId="1A6DCBE5" w:rsidR="005139EC" w:rsidRDefault="00DB7A76" w:rsidP="003E36DF">
            <w:r>
              <w:t>4</w:t>
            </w:r>
            <w:r w:rsidR="003E36DF">
              <w:t>3</w:t>
            </w:r>
            <w:r w:rsidR="007E5F24">
              <w:t>dBm</w:t>
            </w:r>
          </w:p>
        </w:tc>
      </w:tr>
      <w:tr w:rsidR="005139EC" w14:paraId="2CF8819D" w14:textId="77777777" w:rsidTr="005139EC">
        <w:tc>
          <w:tcPr>
            <w:tcW w:w="3686" w:type="dxa"/>
            <w:tcBorders>
              <w:top w:val="single" w:sz="4" w:space="0" w:color="auto"/>
              <w:left w:val="single" w:sz="4" w:space="0" w:color="auto"/>
              <w:bottom w:val="single" w:sz="4" w:space="0" w:color="auto"/>
              <w:right w:val="single" w:sz="4" w:space="0" w:color="auto"/>
            </w:tcBorders>
          </w:tcPr>
          <w:p w14:paraId="3332D69A" w14:textId="1D78CEEB" w:rsidR="005139EC" w:rsidRDefault="00DB7A76">
            <w:r>
              <w:t>MCL</w:t>
            </w:r>
          </w:p>
        </w:tc>
        <w:tc>
          <w:tcPr>
            <w:tcW w:w="4678" w:type="dxa"/>
            <w:tcBorders>
              <w:top w:val="single" w:sz="4" w:space="0" w:color="auto"/>
              <w:left w:val="single" w:sz="4" w:space="0" w:color="auto"/>
              <w:bottom w:val="single" w:sz="4" w:space="0" w:color="auto"/>
              <w:right w:val="single" w:sz="4" w:space="0" w:color="auto"/>
            </w:tcBorders>
          </w:tcPr>
          <w:p w14:paraId="405F8EDD" w14:textId="3EA6C352" w:rsidR="005139EC" w:rsidRDefault="00DB7A76">
            <w:r>
              <w:t>164dB</w:t>
            </w:r>
          </w:p>
        </w:tc>
      </w:tr>
      <w:tr w:rsidR="005139EC" w14:paraId="63A8B05C" w14:textId="77777777" w:rsidTr="005139EC">
        <w:tc>
          <w:tcPr>
            <w:tcW w:w="3686" w:type="dxa"/>
            <w:tcBorders>
              <w:top w:val="single" w:sz="4" w:space="0" w:color="auto"/>
              <w:left w:val="single" w:sz="4" w:space="0" w:color="auto"/>
              <w:bottom w:val="single" w:sz="4" w:space="0" w:color="auto"/>
              <w:right w:val="single" w:sz="4" w:space="0" w:color="auto"/>
            </w:tcBorders>
          </w:tcPr>
          <w:p w14:paraId="549128E5" w14:textId="1E9FF23D" w:rsidR="005139EC" w:rsidRDefault="00DB7A76">
            <w:r>
              <w:t>Operating SNR at MCL</w:t>
            </w:r>
          </w:p>
        </w:tc>
        <w:tc>
          <w:tcPr>
            <w:tcW w:w="4678" w:type="dxa"/>
            <w:tcBorders>
              <w:top w:val="single" w:sz="4" w:space="0" w:color="auto"/>
              <w:left w:val="single" w:sz="4" w:space="0" w:color="auto"/>
              <w:bottom w:val="single" w:sz="4" w:space="0" w:color="auto"/>
              <w:right w:val="single" w:sz="4" w:space="0" w:color="auto"/>
            </w:tcBorders>
          </w:tcPr>
          <w:p w14:paraId="5FDAB042" w14:textId="791CD2A4" w:rsidR="005139EC" w:rsidRDefault="00DB7A76">
            <w:r>
              <w:t>-18.5dB</w:t>
            </w:r>
          </w:p>
        </w:tc>
      </w:tr>
    </w:tbl>
    <w:p w14:paraId="52CD3E50" w14:textId="77777777" w:rsidR="005139EC" w:rsidRDefault="005139EC" w:rsidP="00BB69DB">
      <w:pPr>
        <w:pStyle w:val="ListParagraph"/>
        <w:ind w:left="502"/>
      </w:pPr>
    </w:p>
    <w:p w14:paraId="39C8527E" w14:textId="39A9D120" w:rsidR="00230053" w:rsidRPr="00734D40" w:rsidRDefault="00230053" w:rsidP="005139EC">
      <w:pPr>
        <w:jc w:val="both"/>
        <w:rPr>
          <w:lang w:val="en-US"/>
        </w:rPr>
      </w:pPr>
    </w:p>
    <w:sectPr w:rsidR="00230053" w:rsidRPr="00734D4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7F958" w14:textId="77777777" w:rsidR="005A6C5C" w:rsidRDefault="005A6C5C">
      <w:r>
        <w:separator/>
      </w:r>
    </w:p>
  </w:endnote>
  <w:endnote w:type="continuationSeparator" w:id="0">
    <w:p w14:paraId="57E3E48F" w14:textId="77777777" w:rsidR="005A6C5C" w:rsidRDefault="005A6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B648E" w14:textId="77777777" w:rsidR="005A6C5C" w:rsidRDefault="005A6C5C">
      <w:r>
        <w:separator/>
      </w:r>
    </w:p>
  </w:footnote>
  <w:footnote w:type="continuationSeparator" w:id="0">
    <w:p w14:paraId="134078AE" w14:textId="77777777" w:rsidR="005A6C5C" w:rsidRDefault="005A6C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502"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A37F9C"/>
    <w:multiLevelType w:val="hybridMultilevel"/>
    <w:tmpl w:val="C4ACB7A4"/>
    <w:lvl w:ilvl="0" w:tplc="BAD280A6">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644"/>
        </w:tabs>
        <w:ind w:left="644" w:hanging="360"/>
      </w:pPr>
      <w:rPr>
        <w:rFonts w:ascii="Arial" w:hAnsi="Arial" w:hint="default"/>
      </w:rPr>
    </w:lvl>
    <w:lvl w:ilvl="1" w:tplc="6A00F9EE">
      <w:start w:val="3966"/>
      <w:numFmt w:val="bullet"/>
      <w:lvlText w:val="–"/>
      <w:lvlJc w:val="left"/>
      <w:pPr>
        <w:tabs>
          <w:tab w:val="num" w:pos="1364"/>
        </w:tabs>
        <w:ind w:left="1364" w:hanging="360"/>
      </w:pPr>
      <w:rPr>
        <w:rFonts w:ascii="Arial" w:hAnsi="Arial" w:hint="default"/>
      </w:rPr>
    </w:lvl>
    <w:lvl w:ilvl="2" w:tplc="A8A66BAC">
      <w:start w:val="3966"/>
      <w:numFmt w:val="bullet"/>
      <w:lvlText w:val="•"/>
      <w:lvlJc w:val="left"/>
      <w:pPr>
        <w:tabs>
          <w:tab w:val="num" w:pos="2084"/>
        </w:tabs>
        <w:ind w:left="2084" w:hanging="360"/>
      </w:pPr>
      <w:rPr>
        <w:rFonts w:ascii="Arial" w:hAnsi="Arial" w:hint="default"/>
      </w:rPr>
    </w:lvl>
    <w:lvl w:ilvl="3" w:tplc="2B54B66E" w:tentative="1">
      <w:start w:val="1"/>
      <w:numFmt w:val="bullet"/>
      <w:lvlText w:val="•"/>
      <w:lvlJc w:val="left"/>
      <w:pPr>
        <w:tabs>
          <w:tab w:val="num" w:pos="2804"/>
        </w:tabs>
        <w:ind w:left="2804" w:hanging="360"/>
      </w:pPr>
      <w:rPr>
        <w:rFonts w:ascii="Arial" w:hAnsi="Arial" w:hint="default"/>
      </w:rPr>
    </w:lvl>
    <w:lvl w:ilvl="4" w:tplc="488EE0D8" w:tentative="1">
      <w:start w:val="1"/>
      <w:numFmt w:val="bullet"/>
      <w:lvlText w:val="•"/>
      <w:lvlJc w:val="left"/>
      <w:pPr>
        <w:tabs>
          <w:tab w:val="num" w:pos="3524"/>
        </w:tabs>
        <w:ind w:left="3524" w:hanging="360"/>
      </w:pPr>
      <w:rPr>
        <w:rFonts w:ascii="Arial" w:hAnsi="Arial" w:hint="default"/>
      </w:rPr>
    </w:lvl>
    <w:lvl w:ilvl="5" w:tplc="382EA140" w:tentative="1">
      <w:start w:val="1"/>
      <w:numFmt w:val="bullet"/>
      <w:lvlText w:val="•"/>
      <w:lvlJc w:val="left"/>
      <w:pPr>
        <w:tabs>
          <w:tab w:val="num" w:pos="4244"/>
        </w:tabs>
        <w:ind w:left="4244" w:hanging="360"/>
      </w:pPr>
      <w:rPr>
        <w:rFonts w:ascii="Arial" w:hAnsi="Arial" w:hint="default"/>
      </w:rPr>
    </w:lvl>
    <w:lvl w:ilvl="6" w:tplc="A4DAAFA8" w:tentative="1">
      <w:start w:val="1"/>
      <w:numFmt w:val="bullet"/>
      <w:lvlText w:val="•"/>
      <w:lvlJc w:val="left"/>
      <w:pPr>
        <w:tabs>
          <w:tab w:val="num" w:pos="4964"/>
        </w:tabs>
        <w:ind w:left="4964" w:hanging="360"/>
      </w:pPr>
      <w:rPr>
        <w:rFonts w:ascii="Arial" w:hAnsi="Arial" w:hint="default"/>
      </w:rPr>
    </w:lvl>
    <w:lvl w:ilvl="7" w:tplc="68D6640A" w:tentative="1">
      <w:start w:val="1"/>
      <w:numFmt w:val="bullet"/>
      <w:lvlText w:val="•"/>
      <w:lvlJc w:val="left"/>
      <w:pPr>
        <w:tabs>
          <w:tab w:val="num" w:pos="5684"/>
        </w:tabs>
        <w:ind w:left="5684" w:hanging="360"/>
      </w:pPr>
      <w:rPr>
        <w:rFonts w:ascii="Arial" w:hAnsi="Arial" w:hint="default"/>
      </w:rPr>
    </w:lvl>
    <w:lvl w:ilvl="8" w:tplc="32705A52"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5914201"/>
    <w:multiLevelType w:val="hybridMultilevel"/>
    <w:tmpl w:val="EF2AB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B26E85"/>
    <w:multiLevelType w:val="hybridMultilevel"/>
    <w:tmpl w:val="7EA61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6A64C0"/>
    <w:multiLevelType w:val="hybridMultilevel"/>
    <w:tmpl w:val="E66A1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3405F5"/>
    <w:multiLevelType w:val="hybridMultilevel"/>
    <w:tmpl w:val="54D6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5C7508"/>
    <w:multiLevelType w:val="hybridMultilevel"/>
    <w:tmpl w:val="787A5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B77542"/>
    <w:multiLevelType w:val="hybridMultilevel"/>
    <w:tmpl w:val="764CBD3C"/>
    <w:lvl w:ilvl="0" w:tplc="BAD280A6">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B30B5"/>
    <w:multiLevelType w:val="hybridMultilevel"/>
    <w:tmpl w:val="7A163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38393A"/>
    <w:multiLevelType w:val="hybridMultilevel"/>
    <w:tmpl w:val="3CFCF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5517C5"/>
    <w:multiLevelType w:val="hybridMultilevel"/>
    <w:tmpl w:val="45681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124338"/>
    <w:multiLevelType w:val="hybridMultilevel"/>
    <w:tmpl w:val="E5FEE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624D24"/>
    <w:multiLevelType w:val="hybridMultilevel"/>
    <w:tmpl w:val="68BEB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4E0F7B"/>
    <w:multiLevelType w:val="hybridMultilevel"/>
    <w:tmpl w:val="75E8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B03631"/>
    <w:multiLevelType w:val="hybridMultilevel"/>
    <w:tmpl w:val="8CA048F4"/>
    <w:lvl w:ilvl="0" w:tplc="1702FE14">
      <w:start w:val="1"/>
      <w:numFmt w:val="bullet"/>
      <w:lvlText w:val="•"/>
      <w:lvlJc w:val="left"/>
      <w:pPr>
        <w:tabs>
          <w:tab w:val="num" w:pos="720"/>
        </w:tabs>
        <w:ind w:left="720" w:hanging="360"/>
      </w:pPr>
      <w:rPr>
        <w:rFonts w:ascii="Arial" w:hAnsi="Arial" w:hint="default"/>
      </w:rPr>
    </w:lvl>
    <w:lvl w:ilvl="1" w:tplc="D0527CAC">
      <w:start w:val="1"/>
      <w:numFmt w:val="bullet"/>
      <w:lvlText w:val="•"/>
      <w:lvlJc w:val="left"/>
      <w:pPr>
        <w:tabs>
          <w:tab w:val="num" w:pos="1440"/>
        </w:tabs>
        <w:ind w:left="1440" w:hanging="360"/>
      </w:pPr>
      <w:rPr>
        <w:rFonts w:ascii="Arial" w:hAnsi="Arial" w:hint="default"/>
      </w:rPr>
    </w:lvl>
    <w:lvl w:ilvl="2" w:tplc="77486A5A" w:tentative="1">
      <w:start w:val="1"/>
      <w:numFmt w:val="bullet"/>
      <w:lvlText w:val="•"/>
      <w:lvlJc w:val="left"/>
      <w:pPr>
        <w:tabs>
          <w:tab w:val="num" w:pos="2160"/>
        </w:tabs>
        <w:ind w:left="2160" w:hanging="360"/>
      </w:pPr>
      <w:rPr>
        <w:rFonts w:ascii="Arial" w:hAnsi="Arial" w:hint="default"/>
      </w:rPr>
    </w:lvl>
    <w:lvl w:ilvl="3" w:tplc="723A989A" w:tentative="1">
      <w:start w:val="1"/>
      <w:numFmt w:val="bullet"/>
      <w:lvlText w:val="•"/>
      <w:lvlJc w:val="left"/>
      <w:pPr>
        <w:tabs>
          <w:tab w:val="num" w:pos="2880"/>
        </w:tabs>
        <w:ind w:left="2880" w:hanging="360"/>
      </w:pPr>
      <w:rPr>
        <w:rFonts w:ascii="Arial" w:hAnsi="Arial" w:hint="default"/>
      </w:rPr>
    </w:lvl>
    <w:lvl w:ilvl="4" w:tplc="D8B671E2" w:tentative="1">
      <w:start w:val="1"/>
      <w:numFmt w:val="bullet"/>
      <w:lvlText w:val="•"/>
      <w:lvlJc w:val="left"/>
      <w:pPr>
        <w:tabs>
          <w:tab w:val="num" w:pos="3600"/>
        </w:tabs>
        <w:ind w:left="3600" w:hanging="360"/>
      </w:pPr>
      <w:rPr>
        <w:rFonts w:ascii="Arial" w:hAnsi="Arial" w:hint="default"/>
      </w:rPr>
    </w:lvl>
    <w:lvl w:ilvl="5" w:tplc="56825178" w:tentative="1">
      <w:start w:val="1"/>
      <w:numFmt w:val="bullet"/>
      <w:lvlText w:val="•"/>
      <w:lvlJc w:val="left"/>
      <w:pPr>
        <w:tabs>
          <w:tab w:val="num" w:pos="4320"/>
        </w:tabs>
        <w:ind w:left="4320" w:hanging="360"/>
      </w:pPr>
      <w:rPr>
        <w:rFonts w:ascii="Arial" w:hAnsi="Arial" w:hint="default"/>
      </w:rPr>
    </w:lvl>
    <w:lvl w:ilvl="6" w:tplc="E6BA2358" w:tentative="1">
      <w:start w:val="1"/>
      <w:numFmt w:val="bullet"/>
      <w:lvlText w:val="•"/>
      <w:lvlJc w:val="left"/>
      <w:pPr>
        <w:tabs>
          <w:tab w:val="num" w:pos="5040"/>
        </w:tabs>
        <w:ind w:left="5040" w:hanging="360"/>
      </w:pPr>
      <w:rPr>
        <w:rFonts w:ascii="Arial" w:hAnsi="Arial" w:hint="default"/>
      </w:rPr>
    </w:lvl>
    <w:lvl w:ilvl="7" w:tplc="5B842942" w:tentative="1">
      <w:start w:val="1"/>
      <w:numFmt w:val="bullet"/>
      <w:lvlText w:val="•"/>
      <w:lvlJc w:val="left"/>
      <w:pPr>
        <w:tabs>
          <w:tab w:val="num" w:pos="5760"/>
        </w:tabs>
        <w:ind w:left="5760" w:hanging="360"/>
      </w:pPr>
      <w:rPr>
        <w:rFonts w:ascii="Arial" w:hAnsi="Arial" w:hint="default"/>
      </w:rPr>
    </w:lvl>
    <w:lvl w:ilvl="8" w:tplc="2CF06B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B87672"/>
    <w:multiLevelType w:val="hybridMultilevel"/>
    <w:tmpl w:val="2F8C75A4"/>
    <w:lvl w:ilvl="0" w:tplc="64AC9DD2">
      <w:start w:val="8"/>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F31A77"/>
    <w:multiLevelType w:val="hybridMultilevel"/>
    <w:tmpl w:val="D89A2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20007"/>
    <w:multiLevelType w:val="hybridMultilevel"/>
    <w:tmpl w:val="D31C7FF4"/>
    <w:lvl w:ilvl="0" w:tplc="D988F68A">
      <w:start w:val="3"/>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8ED38A6"/>
    <w:multiLevelType w:val="hybridMultilevel"/>
    <w:tmpl w:val="0BB0DAA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A21321"/>
    <w:multiLevelType w:val="hybridMultilevel"/>
    <w:tmpl w:val="2158817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85562ED"/>
    <w:multiLevelType w:val="hybridMultilevel"/>
    <w:tmpl w:val="F35A4980"/>
    <w:lvl w:ilvl="0" w:tplc="3E3CF1E0">
      <w:start w:val="1"/>
      <w:numFmt w:val="bullet"/>
      <w:lvlText w:val="•"/>
      <w:lvlJc w:val="left"/>
      <w:pPr>
        <w:tabs>
          <w:tab w:val="num" w:pos="720"/>
        </w:tabs>
        <w:ind w:left="720" w:hanging="360"/>
      </w:pPr>
      <w:rPr>
        <w:rFonts w:ascii="Arial" w:hAnsi="Arial" w:hint="default"/>
      </w:rPr>
    </w:lvl>
    <w:lvl w:ilvl="1" w:tplc="BF989F5A">
      <w:start w:val="2996"/>
      <w:numFmt w:val="bullet"/>
      <w:lvlText w:val="–"/>
      <w:lvlJc w:val="left"/>
      <w:pPr>
        <w:tabs>
          <w:tab w:val="num" w:pos="1440"/>
        </w:tabs>
        <w:ind w:left="1440" w:hanging="360"/>
      </w:pPr>
      <w:rPr>
        <w:rFonts w:ascii="Arial" w:hAnsi="Arial" w:hint="default"/>
      </w:rPr>
    </w:lvl>
    <w:lvl w:ilvl="2" w:tplc="EE7E0620" w:tentative="1">
      <w:start w:val="1"/>
      <w:numFmt w:val="bullet"/>
      <w:lvlText w:val="•"/>
      <w:lvlJc w:val="left"/>
      <w:pPr>
        <w:tabs>
          <w:tab w:val="num" w:pos="2160"/>
        </w:tabs>
        <w:ind w:left="2160" w:hanging="360"/>
      </w:pPr>
      <w:rPr>
        <w:rFonts w:ascii="Arial" w:hAnsi="Arial" w:hint="default"/>
      </w:rPr>
    </w:lvl>
    <w:lvl w:ilvl="3" w:tplc="6024B506" w:tentative="1">
      <w:start w:val="1"/>
      <w:numFmt w:val="bullet"/>
      <w:lvlText w:val="•"/>
      <w:lvlJc w:val="left"/>
      <w:pPr>
        <w:tabs>
          <w:tab w:val="num" w:pos="2880"/>
        </w:tabs>
        <w:ind w:left="2880" w:hanging="360"/>
      </w:pPr>
      <w:rPr>
        <w:rFonts w:ascii="Arial" w:hAnsi="Arial" w:hint="default"/>
      </w:rPr>
    </w:lvl>
    <w:lvl w:ilvl="4" w:tplc="559EF2A0" w:tentative="1">
      <w:start w:val="1"/>
      <w:numFmt w:val="bullet"/>
      <w:lvlText w:val="•"/>
      <w:lvlJc w:val="left"/>
      <w:pPr>
        <w:tabs>
          <w:tab w:val="num" w:pos="3600"/>
        </w:tabs>
        <w:ind w:left="3600" w:hanging="360"/>
      </w:pPr>
      <w:rPr>
        <w:rFonts w:ascii="Arial" w:hAnsi="Arial" w:hint="default"/>
      </w:rPr>
    </w:lvl>
    <w:lvl w:ilvl="5" w:tplc="9C34062E" w:tentative="1">
      <w:start w:val="1"/>
      <w:numFmt w:val="bullet"/>
      <w:lvlText w:val="•"/>
      <w:lvlJc w:val="left"/>
      <w:pPr>
        <w:tabs>
          <w:tab w:val="num" w:pos="4320"/>
        </w:tabs>
        <w:ind w:left="4320" w:hanging="360"/>
      </w:pPr>
      <w:rPr>
        <w:rFonts w:ascii="Arial" w:hAnsi="Arial" w:hint="default"/>
      </w:rPr>
    </w:lvl>
    <w:lvl w:ilvl="6" w:tplc="76A4FD8C" w:tentative="1">
      <w:start w:val="1"/>
      <w:numFmt w:val="bullet"/>
      <w:lvlText w:val="•"/>
      <w:lvlJc w:val="left"/>
      <w:pPr>
        <w:tabs>
          <w:tab w:val="num" w:pos="5040"/>
        </w:tabs>
        <w:ind w:left="5040" w:hanging="360"/>
      </w:pPr>
      <w:rPr>
        <w:rFonts w:ascii="Arial" w:hAnsi="Arial" w:hint="default"/>
      </w:rPr>
    </w:lvl>
    <w:lvl w:ilvl="7" w:tplc="6FB4B13C" w:tentative="1">
      <w:start w:val="1"/>
      <w:numFmt w:val="bullet"/>
      <w:lvlText w:val="•"/>
      <w:lvlJc w:val="left"/>
      <w:pPr>
        <w:tabs>
          <w:tab w:val="num" w:pos="5760"/>
        </w:tabs>
        <w:ind w:left="5760" w:hanging="360"/>
      </w:pPr>
      <w:rPr>
        <w:rFonts w:ascii="Arial" w:hAnsi="Arial" w:hint="default"/>
      </w:rPr>
    </w:lvl>
    <w:lvl w:ilvl="8" w:tplc="E1C876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8"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6"/>
  </w:num>
  <w:num w:numId="2">
    <w:abstractNumId w:val="42"/>
  </w:num>
  <w:num w:numId="3">
    <w:abstractNumId w:val="28"/>
  </w:num>
  <w:num w:numId="4">
    <w:abstractNumId w:val="24"/>
  </w:num>
  <w:num w:numId="5">
    <w:abstractNumId w:val="4"/>
  </w:num>
  <w:num w:numId="6">
    <w:abstractNumId w:val="40"/>
  </w:num>
  <w:num w:numId="7">
    <w:abstractNumId w:val="37"/>
  </w:num>
  <w:num w:numId="8">
    <w:abstractNumId w:val="43"/>
  </w:num>
  <w:num w:numId="9">
    <w:abstractNumId w:val="0"/>
  </w:num>
  <w:num w:numId="10">
    <w:abstractNumId w:val="10"/>
  </w:num>
  <w:num w:numId="11">
    <w:abstractNumId w:val="16"/>
  </w:num>
  <w:num w:numId="12">
    <w:abstractNumId w:val="12"/>
  </w:num>
  <w:num w:numId="13">
    <w:abstractNumId w:val="39"/>
  </w:num>
  <w:num w:numId="14">
    <w:abstractNumId w:val="14"/>
  </w:num>
  <w:num w:numId="15">
    <w:abstractNumId w:val="20"/>
  </w:num>
  <w:num w:numId="16">
    <w:abstractNumId w:val="2"/>
  </w:num>
  <w:num w:numId="17">
    <w:abstractNumId w:val="35"/>
  </w:num>
  <w:num w:numId="18">
    <w:abstractNumId w:val="19"/>
  </w:num>
  <w:num w:numId="19">
    <w:abstractNumId w:val="13"/>
  </w:num>
  <w:num w:numId="20">
    <w:abstractNumId w:val="9"/>
  </w:num>
  <w:num w:numId="21">
    <w:abstractNumId w:val="1"/>
  </w:num>
  <w:num w:numId="22">
    <w:abstractNumId w:val="11"/>
  </w:num>
  <w:num w:numId="23">
    <w:abstractNumId w:val="33"/>
  </w:num>
  <w:num w:numId="24">
    <w:abstractNumId w:val="7"/>
  </w:num>
  <w:num w:numId="25">
    <w:abstractNumId w:val="23"/>
  </w:num>
  <w:num w:numId="26">
    <w:abstractNumId w:val="34"/>
  </w:num>
  <w:num w:numId="27">
    <w:abstractNumId w:val="22"/>
  </w:num>
  <w:num w:numId="28">
    <w:abstractNumId w:val="3"/>
  </w:num>
  <w:num w:numId="29">
    <w:abstractNumId w:val="31"/>
  </w:num>
  <w:num w:numId="30">
    <w:abstractNumId w:val="15"/>
  </w:num>
  <w:num w:numId="31">
    <w:abstractNumId w:val="6"/>
  </w:num>
  <w:num w:numId="32">
    <w:abstractNumId w:val="27"/>
  </w:num>
  <w:num w:numId="33">
    <w:abstractNumId w:val="5"/>
  </w:num>
  <w:num w:numId="34">
    <w:abstractNumId w:val="41"/>
  </w:num>
  <w:num w:numId="35">
    <w:abstractNumId w:val="8"/>
  </w:num>
  <w:num w:numId="36">
    <w:abstractNumId w:val="17"/>
  </w:num>
  <w:num w:numId="37">
    <w:abstractNumId w:val="18"/>
  </w:num>
  <w:num w:numId="38">
    <w:abstractNumId w:val="29"/>
  </w:num>
  <w:num w:numId="39">
    <w:abstractNumId w:val="21"/>
  </w:num>
  <w:num w:numId="40">
    <w:abstractNumId w:val="25"/>
  </w:num>
  <w:num w:numId="41">
    <w:abstractNumId w:val="30"/>
  </w:num>
  <w:num w:numId="42">
    <w:abstractNumId w:val="38"/>
  </w:num>
  <w:num w:numId="43">
    <w:abstractNumId w:val="32"/>
  </w:num>
  <w:num w:numId="44">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3584"/>
    <w:rsid w:val="00043AFE"/>
    <w:rsid w:val="00044500"/>
    <w:rsid w:val="000449E4"/>
    <w:rsid w:val="00044F7E"/>
    <w:rsid w:val="00045DB5"/>
    <w:rsid w:val="00051B5A"/>
    <w:rsid w:val="00052ADE"/>
    <w:rsid w:val="00052F3F"/>
    <w:rsid w:val="000534E9"/>
    <w:rsid w:val="00053E29"/>
    <w:rsid w:val="000544EC"/>
    <w:rsid w:val="000547A0"/>
    <w:rsid w:val="00054FC7"/>
    <w:rsid w:val="000553A7"/>
    <w:rsid w:val="00056CA7"/>
    <w:rsid w:val="000573CF"/>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6759"/>
    <w:rsid w:val="000768C2"/>
    <w:rsid w:val="000772A2"/>
    <w:rsid w:val="00077435"/>
    <w:rsid w:val="00080202"/>
    <w:rsid w:val="00080295"/>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B89"/>
    <w:rsid w:val="00095196"/>
    <w:rsid w:val="0009666A"/>
    <w:rsid w:val="000A1523"/>
    <w:rsid w:val="000A17F4"/>
    <w:rsid w:val="000A1DE4"/>
    <w:rsid w:val="000A2774"/>
    <w:rsid w:val="000A3CF3"/>
    <w:rsid w:val="000A5921"/>
    <w:rsid w:val="000A6EF1"/>
    <w:rsid w:val="000A703E"/>
    <w:rsid w:val="000A731E"/>
    <w:rsid w:val="000A75ED"/>
    <w:rsid w:val="000A75EE"/>
    <w:rsid w:val="000A7B44"/>
    <w:rsid w:val="000B0E91"/>
    <w:rsid w:val="000B2700"/>
    <w:rsid w:val="000B3359"/>
    <w:rsid w:val="000B37A9"/>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5E0"/>
    <w:rsid w:val="00126D70"/>
    <w:rsid w:val="00127607"/>
    <w:rsid w:val="00127634"/>
    <w:rsid w:val="001302B0"/>
    <w:rsid w:val="0013089C"/>
    <w:rsid w:val="00130B76"/>
    <w:rsid w:val="00132010"/>
    <w:rsid w:val="00133C60"/>
    <w:rsid w:val="00134460"/>
    <w:rsid w:val="0013454D"/>
    <w:rsid w:val="0013462E"/>
    <w:rsid w:val="00134907"/>
    <w:rsid w:val="00135A14"/>
    <w:rsid w:val="00135E57"/>
    <w:rsid w:val="001363BD"/>
    <w:rsid w:val="00137A9B"/>
    <w:rsid w:val="0014033A"/>
    <w:rsid w:val="00140F32"/>
    <w:rsid w:val="00141C30"/>
    <w:rsid w:val="0014253C"/>
    <w:rsid w:val="00142543"/>
    <w:rsid w:val="0014266F"/>
    <w:rsid w:val="00142978"/>
    <w:rsid w:val="0014377B"/>
    <w:rsid w:val="0014459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902AF"/>
    <w:rsid w:val="00190561"/>
    <w:rsid w:val="00191523"/>
    <w:rsid w:val="00191F7D"/>
    <w:rsid w:val="001926DA"/>
    <w:rsid w:val="00192E0F"/>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A3B"/>
    <w:rsid w:val="001C73E0"/>
    <w:rsid w:val="001C7D0E"/>
    <w:rsid w:val="001D06CF"/>
    <w:rsid w:val="001D255E"/>
    <w:rsid w:val="001D286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F0541"/>
    <w:rsid w:val="001F06F5"/>
    <w:rsid w:val="001F089A"/>
    <w:rsid w:val="001F3613"/>
    <w:rsid w:val="001F3B85"/>
    <w:rsid w:val="001F48BC"/>
    <w:rsid w:val="001F6769"/>
    <w:rsid w:val="001F7B7B"/>
    <w:rsid w:val="00200D51"/>
    <w:rsid w:val="00201AED"/>
    <w:rsid w:val="002026D6"/>
    <w:rsid w:val="00202719"/>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67B"/>
    <w:rsid w:val="00224987"/>
    <w:rsid w:val="002249EB"/>
    <w:rsid w:val="0022648A"/>
    <w:rsid w:val="00226A29"/>
    <w:rsid w:val="00230053"/>
    <w:rsid w:val="00230AC9"/>
    <w:rsid w:val="002317F5"/>
    <w:rsid w:val="0023301D"/>
    <w:rsid w:val="00233678"/>
    <w:rsid w:val="00233A6B"/>
    <w:rsid w:val="00235819"/>
    <w:rsid w:val="0023590D"/>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4F5B"/>
    <w:rsid w:val="002852F5"/>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2A25"/>
    <w:rsid w:val="002D2C93"/>
    <w:rsid w:val="002D3E6F"/>
    <w:rsid w:val="002D4079"/>
    <w:rsid w:val="002D4563"/>
    <w:rsid w:val="002D465C"/>
    <w:rsid w:val="002D4A21"/>
    <w:rsid w:val="002D4C75"/>
    <w:rsid w:val="002D70D6"/>
    <w:rsid w:val="002D7743"/>
    <w:rsid w:val="002D7FC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2B4C"/>
    <w:rsid w:val="00352E5A"/>
    <w:rsid w:val="00352ED7"/>
    <w:rsid w:val="00352FF4"/>
    <w:rsid w:val="003532E2"/>
    <w:rsid w:val="00353612"/>
    <w:rsid w:val="00353F65"/>
    <w:rsid w:val="003550A2"/>
    <w:rsid w:val="00355F8C"/>
    <w:rsid w:val="00356A23"/>
    <w:rsid w:val="00356E3B"/>
    <w:rsid w:val="00357029"/>
    <w:rsid w:val="00357B0F"/>
    <w:rsid w:val="00360686"/>
    <w:rsid w:val="00360902"/>
    <w:rsid w:val="0036385F"/>
    <w:rsid w:val="00364998"/>
    <w:rsid w:val="0036512D"/>
    <w:rsid w:val="0036745C"/>
    <w:rsid w:val="0036795D"/>
    <w:rsid w:val="00367A49"/>
    <w:rsid w:val="00370082"/>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AD0"/>
    <w:rsid w:val="0038446C"/>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6DF"/>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533"/>
    <w:rsid w:val="004A2B09"/>
    <w:rsid w:val="004A33E8"/>
    <w:rsid w:val="004A343D"/>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79C"/>
    <w:rsid w:val="004C7D74"/>
    <w:rsid w:val="004C7F23"/>
    <w:rsid w:val="004D0768"/>
    <w:rsid w:val="004D13A3"/>
    <w:rsid w:val="004D1FA5"/>
    <w:rsid w:val="004D2738"/>
    <w:rsid w:val="004D2862"/>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DD4"/>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79D9"/>
    <w:rsid w:val="00590903"/>
    <w:rsid w:val="00591144"/>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A6C5C"/>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2BB8"/>
    <w:rsid w:val="00602FC6"/>
    <w:rsid w:val="00603378"/>
    <w:rsid w:val="00604B3D"/>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302A8"/>
    <w:rsid w:val="0063035B"/>
    <w:rsid w:val="00630477"/>
    <w:rsid w:val="00630DB3"/>
    <w:rsid w:val="006310E4"/>
    <w:rsid w:val="0063392F"/>
    <w:rsid w:val="00633BEF"/>
    <w:rsid w:val="00634118"/>
    <w:rsid w:val="006341DD"/>
    <w:rsid w:val="00634358"/>
    <w:rsid w:val="00634BD8"/>
    <w:rsid w:val="006363C5"/>
    <w:rsid w:val="00636FB3"/>
    <w:rsid w:val="006371EE"/>
    <w:rsid w:val="0064034D"/>
    <w:rsid w:val="006406C6"/>
    <w:rsid w:val="00641F49"/>
    <w:rsid w:val="00642478"/>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B54"/>
    <w:rsid w:val="0073110A"/>
    <w:rsid w:val="00732778"/>
    <w:rsid w:val="00732AA5"/>
    <w:rsid w:val="00733769"/>
    <w:rsid w:val="0073419C"/>
    <w:rsid w:val="007341C4"/>
    <w:rsid w:val="00734D40"/>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96A"/>
    <w:rsid w:val="00760CBF"/>
    <w:rsid w:val="007614C0"/>
    <w:rsid w:val="007630DE"/>
    <w:rsid w:val="0076321B"/>
    <w:rsid w:val="007637FC"/>
    <w:rsid w:val="00764DED"/>
    <w:rsid w:val="00765456"/>
    <w:rsid w:val="007675FD"/>
    <w:rsid w:val="007676DA"/>
    <w:rsid w:val="00770501"/>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33FE"/>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3F04"/>
    <w:rsid w:val="007E52A4"/>
    <w:rsid w:val="007E5F2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40920"/>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A11"/>
    <w:rsid w:val="00883F9D"/>
    <w:rsid w:val="008842AD"/>
    <w:rsid w:val="00884A0C"/>
    <w:rsid w:val="00885B4B"/>
    <w:rsid w:val="00885F25"/>
    <w:rsid w:val="00885F85"/>
    <w:rsid w:val="00890698"/>
    <w:rsid w:val="008917EC"/>
    <w:rsid w:val="008919E3"/>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027"/>
    <w:rsid w:val="008D79ED"/>
    <w:rsid w:val="008D7A09"/>
    <w:rsid w:val="008E357B"/>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45B8"/>
    <w:rsid w:val="009050E5"/>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5B56"/>
    <w:rsid w:val="009364EC"/>
    <w:rsid w:val="00936595"/>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F58"/>
    <w:rsid w:val="00952BA8"/>
    <w:rsid w:val="00952FC2"/>
    <w:rsid w:val="009536A4"/>
    <w:rsid w:val="009540C9"/>
    <w:rsid w:val="0095503E"/>
    <w:rsid w:val="00956D23"/>
    <w:rsid w:val="00956F82"/>
    <w:rsid w:val="0095711E"/>
    <w:rsid w:val="009573A8"/>
    <w:rsid w:val="00957D7E"/>
    <w:rsid w:val="0096059C"/>
    <w:rsid w:val="00960B54"/>
    <w:rsid w:val="00961BAA"/>
    <w:rsid w:val="009622FC"/>
    <w:rsid w:val="00964E20"/>
    <w:rsid w:val="00965924"/>
    <w:rsid w:val="0096615B"/>
    <w:rsid w:val="00970C32"/>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52C"/>
    <w:rsid w:val="009A7E1D"/>
    <w:rsid w:val="009B2F2D"/>
    <w:rsid w:val="009B2F3A"/>
    <w:rsid w:val="009B2FBE"/>
    <w:rsid w:val="009B5D00"/>
    <w:rsid w:val="009B5D29"/>
    <w:rsid w:val="009B5DA5"/>
    <w:rsid w:val="009B5FD5"/>
    <w:rsid w:val="009B6EB6"/>
    <w:rsid w:val="009B75DD"/>
    <w:rsid w:val="009B77BC"/>
    <w:rsid w:val="009C2569"/>
    <w:rsid w:val="009C2EE1"/>
    <w:rsid w:val="009C30E6"/>
    <w:rsid w:val="009C329E"/>
    <w:rsid w:val="009C4965"/>
    <w:rsid w:val="009C62F1"/>
    <w:rsid w:val="009C6B67"/>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DC2"/>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55B"/>
    <w:rsid w:val="00A70AA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39D"/>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1465"/>
    <w:rsid w:val="00B11E55"/>
    <w:rsid w:val="00B12388"/>
    <w:rsid w:val="00B13937"/>
    <w:rsid w:val="00B14498"/>
    <w:rsid w:val="00B14972"/>
    <w:rsid w:val="00B14DB6"/>
    <w:rsid w:val="00B15E0A"/>
    <w:rsid w:val="00B1697C"/>
    <w:rsid w:val="00B201FF"/>
    <w:rsid w:val="00B220AB"/>
    <w:rsid w:val="00B22F41"/>
    <w:rsid w:val="00B238DB"/>
    <w:rsid w:val="00B2416C"/>
    <w:rsid w:val="00B247F9"/>
    <w:rsid w:val="00B24EA0"/>
    <w:rsid w:val="00B25AAF"/>
    <w:rsid w:val="00B2773E"/>
    <w:rsid w:val="00B3003E"/>
    <w:rsid w:val="00B31BD2"/>
    <w:rsid w:val="00B32262"/>
    <w:rsid w:val="00B330F7"/>
    <w:rsid w:val="00B3473B"/>
    <w:rsid w:val="00B3514D"/>
    <w:rsid w:val="00B352C9"/>
    <w:rsid w:val="00B37504"/>
    <w:rsid w:val="00B404C8"/>
    <w:rsid w:val="00B41AB4"/>
    <w:rsid w:val="00B4274D"/>
    <w:rsid w:val="00B450F6"/>
    <w:rsid w:val="00B45422"/>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88E"/>
    <w:rsid w:val="00B81D69"/>
    <w:rsid w:val="00B82E10"/>
    <w:rsid w:val="00B83CD1"/>
    <w:rsid w:val="00B850DC"/>
    <w:rsid w:val="00B86DB8"/>
    <w:rsid w:val="00B876C8"/>
    <w:rsid w:val="00B929C1"/>
    <w:rsid w:val="00B93CD6"/>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69DB"/>
    <w:rsid w:val="00BB7541"/>
    <w:rsid w:val="00BB7DF4"/>
    <w:rsid w:val="00BC0D77"/>
    <w:rsid w:val="00BC1245"/>
    <w:rsid w:val="00BC216A"/>
    <w:rsid w:val="00BC405B"/>
    <w:rsid w:val="00BC4315"/>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F03FB"/>
    <w:rsid w:val="00BF0724"/>
    <w:rsid w:val="00BF0BED"/>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2C8F"/>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5329"/>
    <w:rsid w:val="00CB56C8"/>
    <w:rsid w:val="00CB648F"/>
    <w:rsid w:val="00CB6B09"/>
    <w:rsid w:val="00CB7F62"/>
    <w:rsid w:val="00CC0314"/>
    <w:rsid w:val="00CC1607"/>
    <w:rsid w:val="00CC1DAA"/>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5982"/>
    <w:rsid w:val="00CE62D9"/>
    <w:rsid w:val="00CE6603"/>
    <w:rsid w:val="00CE6FC2"/>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A76"/>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B76"/>
    <w:rsid w:val="00DD4E7D"/>
    <w:rsid w:val="00DD56CE"/>
    <w:rsid w:val="00DD6B4C"/>
    <w:rsid w:val="00DE1410"/>
    <w:rsid w:val="00DE26D1"/>
    <w:rsid w:val="00DE2BC6"/>
    <w:rsid w:val="00DE2DA4"/>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1E3B"/>
    <w:rsid w:val="00E22997"/>
    <w:rsid w:val="00E2319F"/>
    <w:rsid w:val="00E237F9"/>
    <w:rsid w:val="00E23EEA"/>
    <w:rsid w:val="00E24657"/>
    <w:rsid w:val="00E3298A"/>
    <w:rsid w:val="00E32C78"/>
    <w:rsid w:val="00E3346D"/>
    <w:rsid w:val="00E33C88"/>
    <w:rsid w:val="00E33EB2"/>
    <w:rsid w:val="00E34382"/>
    <w:rsid w:val="00E34714"/>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40F9"/>
    <w:rsid w:val="00E8525D"/>
    <w:rsid w:val="00E85DC2"/>
    <w:rsid w:val="00E85E4F"/>
    <w:rsid w:val="00E861FB"/>
    <w:rsid w:val="00E8623D"/>
    <w:rsid w:val="00E87D37"/>
    <w:rsid w:val="00E90724"/>
    <w:rsid w:val="00E922B2"/>
    <w:rsid w:val="00E93120"/>
    <w:rsid w:val="00E93AA8"/>
    <w:rsid w:val="00E94BA0"/>
    <w:rsid w:val="00E95249"/>
    <w:rsid w:val="00E958A4"/>
    <w:rsid w:val="00E961C4"/>
    <w:rsid w:val="00E969F4"/>
    <w:rsid w:val="00E96E79"/>
    <w:rsid w:val="00E973B0"/>
    <w:rsid w:val="00E97E85"/>
    <w:rsid w:val="00EA061C"/>
    <w:rsid w:val="00EA0E7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5D"/>
    <w:rsid w:val="00EF2D83"/>
    <w:rsid w:val="00EF304F"/>
    <w:rsid w:val="00EF3154"/>
    <w:rsid w:val="00EF5CBA"/>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732"/>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A0C"/>
    <w:rsid w:val="00FE4D1E"/>
    <w:rsid w:val="00FE52CD"/>
    <w:rsid w:val="00FE52D5"/>
    <w:rsid w:val="00FE59F4"/>
    <w:rsid w:val="00FE6E20"/>
    <w:rsid w:val="00FE763E"/>
    <w:rsid w:val="00FF28BC"/>
    <w:rsid w:val="00FF2964"/>
    <w:rsid w:val="00FF44DD"/>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5B8"/>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9045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45B8"/>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1CCAF-222F-4C67-A5E6-70C887EBC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1224</Words>
  <Characters>6982</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2017-08-11T21:04:00Z</dcterms:created>
  <dcterms:modified xsi:type="dcterms:W3CDTF">2017-08-11T21:04:00Z</dcterms:modified>
</cp:coreProperties>
</file>